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6A4EC" w14:textId="77777777" w:rsidR="00CC24E2" w:rsidRPr="003A0804" w:rsidRDefault="00E37DA2" w:rsidP="003B0663">
      <w:pPr>
        <w:pStyle w:val="Kop1"/>
      </w:pPr>
      <w:r>
        <w:t>Omgaan met BZV-</w:t>
      </w:r>
      <w:r w:rsidR="008E2554">
        <w:t xml:space="preserve"> of</w:t>
      </w:r>
      <w:r w:rsidR="00BD083B">
        <w:t xml:space="preserve"> </w:t>
      </w:r>
      <w:r w:rsidR="00682132">
        <w:t>TZV</w:t>
      </w:r>
      <w:r w:rsidR="00BD083B">
        <w:t>-</w:t>
      </w:r>
      <w:r w:rsidR="008E2554">
        <w:t>waarden</w:t>
      </w:r>
      <w:r w:rsidR="00682132">
        <w:t xml:space="preserve"> in Proteus 4</w:t>
      </w:r>
    </w:p>
    <w:p w14:paraId="1A31F529" w14:textId="77777777" w:rsidR="003A0804" w:rsidRDefault="003A0804" w:rsidP="003A0804">
      <w:pPr>
        <w:pStyle w:val="Geenafstand"/>
      </w:pPr>
    </w:p>
    <w:p w14:paraId="0996F074" w14:textId="77777777" w:rsidR="003A0804" w:rsidRPr="004B3912" w:rsidRDefault="00D978C5" w:rsidP="003A0804">
      <w:pPr>
        <w:pStyle w:val="Geenafstand"/>
      </w:pPr>
      <w:r w:rsidRPr="004B3912">
        <w:t>Leon Braam/Peter Kuiper/David Vroon</w:t>
      </w:r>
    </w:p>
    <w:p w14:paraId="7E933B59" w14:textId="77777777" w:rsidR="003B0663" w:rsidRPr="004B3912" w:rsidRDefault="003B0663" w:rsidP="003A0804">
      <w:pPr>
        <w:pStyle w:val="Geenafstand"/>
      </w:pPr>
    </w:p>
    <w:p w14:paraId="7158C1C9" w14:textId="77777777" w:rsidR="003A0804" w:rsidRPr="004B3912" w:rsidRDefault="00005D0D" w:rsidP="003A0804">
      <w:pPr>
        <w:pStyle w:val="Geenafstand"/>
      </w:pPr>
      <w:r>
        <w:t xml:space="preserve">Versie </w:t>
      </w:r>
      <w:r w:rsidR="00E87AC8">
        <w:t>6 april</w:t>
      </w:r>
      <w:r w:rsidR="009052FB">
        <w:t>-2022</w:t>
      </w:r>
    </w:p>
    <w:p w14:paraId="750F30FB" w14:textId="77777777" w:rsidR="003A0804" w:rsidRPr="004B3912" w:rsidRDefault="003A0804" w:rsidP="003A0804">
      <w:pPr>
        <w:pStyle w:val="Geenafstand"/>
      </w:pPr>
    </w:p>
    <w:p w14:paraId="62D6FBDA" w14:textId="77777777" w:rsidR="003A0804" w:rsidRPr="004B3912" w:rsidRDefault="003A0804" w:rsidP="003A0804">
      <w:pPr>
        <w:pStyle w:val="Geenafstand"/>
        <w:rPr>
          <w:b/>
        </w:rPr>
      </w:pPr>
      <w:r w:rsidRPr="004B3912">
        <w:rPr>
          <w:b/>
        </w:rPr>
        <w:t>Achtergrond</w:t>
      </w:r>
      <w:r w:rsidR="000D7C39" w:rsidRPr="004B3912">
        <w:rPr>
          <w:b/>
        </w:rPr>
        <w:t>/ Probleem</w:t>
      </w:r>
    </w:p>
    <w:p w14:paraId="6C88BEF9" w14:textId="77777777" w:rsidR="001B308B" w:rsidRDefault="001B308B" w:rsidP="0034168A">
      <w:pPr>
        <w:pStyle w:val="Geenafstand"/>
      </w:pPr>
      <w:r>
        <w:t>In Proteus 4.5 zijn een aantal veranderingen doorgevoerd.</w:t>
      </w:r>
      <w:r w:rsidR="00DA26D1">
        <w:t xml:space="preserve"> </w:t>
      </w:r>
      <w:r>
        <w:t xml:space="preserve">Een ervan </w:t>
      </w:r>
      <w:r w:rsidR="00A61661">
        <w:t xml:space="preserve">is </w:t>
      </w:r>
      <w:r>
        <w:t xml:space="preserve">de invoer van de stofeigenschap </w:t>
      </w:r>
      <w:r w:rsidR="00894938">
        <w:t>TZV, in</w:t>
      </w:r>
      <w:r w:rsidR="00A61661">
        <w:t xml:space="preserve"> </w:t>
      </w:r>
      <w:r>
        <w:t xml:space="preserve">de </w:t>
      </w:r>
      <w:r w:rsidR="00A61661">
        <w:t xml:space="preserve">plaats van </w:t>
      </w:r>
      <w:r>
        <w:t xml:space="preserve">de </w:t>
      </w:r>
      <w:r w:rsidR="00A61661">
        <w:t xml:space="preserve">BZV. Wat onder TZV wordt verstaan en hoe er mee om te gaan, wordt hieronder nader uitgelegd. </w:t>
      </w:r>
    </w:p>
    <w:p w14:paraId="55133C0F" w14:textId="77777777" w:rsidR="0034168A" w:rsidRDefault="0034168A" w:rsidP="001B308B">
      <w:pPr>
        <w:pStyle w:val="Geenafstand"/>
      </w:pPr>
    </w:p>
    <w:p w14:paraId="5DF3F0FA" w14:textId="77777777" w:rsidR="0034168A" w:rsidRPr="00C418FC" w:rsidRDefault="0034168A" w:rsidP="0034168A">
      <w:pPr>
        <w:pStyle w:val="Geenafstand"/>
        <w:rPr>
          <w:u w:val="single"/>
        </w:rPr>
      </w:pPr>
      <w:r w:rsidRPr="00C418FC">
        <w:rPr>
          <w:u w:val="single"/>
        </w:rPr>
        <w:t xml:space="preserve">Nieuwe benadering voor biologisch zuurstofverbruik door TZV </w:t>
      </w:r>
    </w:p>
    <w:p w14:paraId="72708561" w14:textId="77777777" w:rsidR="00F171F1" w:rsidRDefault="003B0663" w:rsidP="003A0804">
      <w:pPr>
        <w:pStyle w:val="Geenafstand"/>
      </w:pPr>
      <w:r w:rsidRPr="004B3912">
        <w:t>BZV-</w:t>
      </w:r>
      <w:r w:rsidR="00621606" w:rsidRPr="004B3912">
        <w:t xml:space="preserve">waarden  </w:t>
      </w:r>
      <w:r w:rsidR="0050505B" w:rsidRPr="004B3912">
        <w:t xml:space="preserve">zijn </w:t>
      </w:r>
      <w:r w:rsidR="00F171F1">
        <w:t xml:space="preserve">te vinden in </w:t>
      </w:r>
      <w:r w:rsidR="00621606" w:rsidRPr="004B3912">
        <w:t>de MSDS</w:t>
      </w:r>
      <w:r w:rsidR="00AB1AD1" w:rsidRPr="004B3912">
        <w:t>-en</w:t>
      </w:r>
      <w:r w:rsidR="00D978C5" w:rsidRPr="004B3912">
        <w:t xml:space="preserve"> en andere stofeigenschap</w:t>
      </w:r>
      <w:r w:rsidR="00E87AC8">
        <w:t xml:space="preserve"> </w:t>
      </w:r>
      <w:r w:rsidR="00621606" w:rsidRPr="004B3912">
        <w:t>documenten</w:t>
      </w:r>
      <w:r w:rsidR="00F171F1">
        <w:t xml:space="preserve">. Een goede bron voor de waarde van </w:t>
      </w:r>
      <w:r w:rsidR="00D96222">
        <w:t>de</w:t>
      </w:r>
      <w:r w:rsidR="00BA4E43">
        <w:t xml:space="preserve"> </w:t>
      </w:r>
      <w:r w:rsidR="00F171F1">
        <w:t>BZV</w:t>
      </w:r>
      <w:r w:rsidR="00D96222">
        <w:t xml:space="preserve"> van een stof</w:t>
      </w:r>
      <w:r w:rsidR="00BA4E43">
        <w:t xml:space="preserve"> </w:t>
      </w:r>
      <w:r w:rsidR="00F171F1">
        <w:t xml:space="preserve">is de ECHA database. </w:t>
      </w:r>
      <w:r w:rsidR="00C418FC" w:rsidRPr="004B3912">
        <w:t>De BZV-bepaling van een stof kan in de praktijk moeilijk uitvoerbaar zijn. Zo wordt de uitvoering beperkt door toxische effecten op het ent-slib of door de slechte oplosbaarheid van de onderzochte stof(</w:t>
      </w:r>
      <w:proofErr w:type="spellStart"/>
      <w:r w:rsidR="00C418FC" w:rsidRPr="004B3912">
        <w:t>fen</w:t>
      </w:r>
      <w:proofErr w:type="spellEnd"/>
      <w:r w:rsidR="00C418FC" w:rsidRPr="004B3912">
        <w:t>).</w:t>
      </w:r>
      <w:r w:rsidR="00C418FC">
        <w:t xml:space="preserve"> </w:t>
      </w:r>
      <w:r w:rsidR="00621606" w:rsidRPr="004B3912">
        <w:t>Van snel of gemakkelijk afbreekbare stoffen is vaak wel een BZV-</w:t>
      </w:r>
      <w:r w:rsidR="00D96222">
        <w:t xml:space="preserve">waarde </w:t>
      </w:r>
      <w:r w:rsidR="00621606" w:rsidRPr="004B3912">
        <w:t>beschikbaar. Voor moeilijk afbreekbare</w:t>
      </w:r>
      <w:r w:rsidR="00D50142" w:rsidRPr="004B3912">
        <w:t xml:space="preserve"> stoffen is dat niet het geval.</w:t>
      </w:r>
      <w:r w:rsidR="00F171F1">
        <w:t xml:space="preserve"> </w:t>
      </w:r>
    </w:p>
    <w:p w14:paraId="61B9BCEB" w14:textId="77777777" w:rsidR="00F171F1" w:rsidRDefault="00F171F1" w:rsidP="003A0804">
      <w:pPr>
        <w:pStyle w:val="Geenafstand"/>
      </w:pPr>
    </w:p>
    <w:p w14:paraId="2D9165C1" w14:textId="77777777" w:rsidR="00FF3A32" w:rsidRPr="004B3912" w:rsidRDefault="00FF3A32" w:rsidP="00FF3A32">
      <w:pPr>
        <w:pStyle w:val="Geenafstand"/>
      </w:pPr>
      <w:r w:rsidRPr="004B3912">
        <w:t xml:space="preserve">Als alternatief </w:t>
      </w:r>
      <w:r>
        <w:t xml:space="preserve">voor het vaak ontbreken van een BZV-waarde </w:t>
      </w:r>
      <w:r w:rsidRPr="004B3912">
        <w:t>wordt in Proteus 4 gevraagd naar een TZV-waarde van een stof (Totaal Zuurstof Verbruik). Met de introductie van de TZV wordt de Proteus gebruiker echter geconfronteerd met additionele vragen zoals:</w:t>
      </w:r>
    </w:p>
    <w:p w14:paraId="3DF9638C" w14:textId="77777777" w:rsidR="00FF3A32" w:rsidRPr="004B3912" w:rsidRDefault="00FF3A32" w:rsidP="00FF3A32">
      <w:pPr>
        <w:pStyle w:val="Geenafstand"/>
        <w:numPr>
          <w:ilvl w:val="0"/>
          <w:numId w:val="3"/>
        </w:numPr>
      </w:pPr>
      <w:r w:rsidRPr="004B3912">
        <w:t>Waar moeten de TZV-waarden van stoffen vandaan gehaald worden?</w:t>
      </w:r>
    </w:p>
    <w:p w14:paraId="236CC1CF" w14:textId="77777777" w:rsidR="00FF3A32" w:rsidRPr="004B3912" w:rsidRDefault="00FF3A32" w:rsidP="00FF3A32">
      <w:pPr>
        <w:pStyle w:val="Geenafstand"/>
        <w:numPr>
          <w:ilvl w:val="0"/>
          <w:numId w:val="3"/>
        </w:numPr>
      </w:pPr>
      <w:r w:rsidRPr="004B3912">
        <w:t>Is de TZV-waarde gelijkwaardig aan de BZV-waarde?</w:t>
      </w:r>
    </w:p>
    <w:p w14:paraId="1E53F4C6" w14:textId="1357CE2A" w:rsidR="00FF3A32" w:rsidRPr="004B3912" w:rsidRDefault="00AA7242" w:rsidP="00FF3A32">
      <w:pPr>
        <w:pStyle w:val="Geenafstand"/>
        <w:numPr>
          <w:ilvl w:val="0"/>
          <w:numId w:val="3"/>
        </w:numPr>
      </w:pPr>
      <w:r>
        <w:t>Kan/</w:t>
      </w:r>
      <w:r w:rsidR="00FF3A32" w:rsidRPr="004B3912">
        <w:t>moet de TZV-waarde berekend worden?</w:t>
      </w:r>
    </w:p>
    <w:p w14:paraId="15E209DA" w14:textId="77777777" w:rsidR="00FF3A32" w:rsidRPr="004B3912" w:rsidRDefault="00FF3A32" w:rsidP="00FF3A32">
      <w:pPr>
        <w:pStyle w:val="Geenafstand"/>
      </w:pPr>
    </w:p>
    <w:p w14:paraId="1BA0B355" w14:textId="77777777" w:rsidR="00FF3A32" w:rsidRDefault="00FF3A32" w:rsidP="00FF3A32">
      <w:pPr>
        <w:pStyle w:val="Geenafstand"/>
      </w:pPr>
      <w:r w:rsidRPr="004B3912">
        <w:t xml:space="preserve">Deze vragen worden in de handleiding van Proteus 4 op dit moment niet afdoende afgedicht. </w:t>
      </w:r>
      <w:r>
        <w:t>O</w:t>
      </w:r>
      <w:r w:rsidRPr="004B3912">
        <w:t>nderstaande notitie geeft daarom antwoorden op de</w:t>
      </w:r>
      <w:r>
        <w:t>ze</w:t>
      </w:r>
      <w:r w:rsidRPr="004B3912">
        <w:t xml:space="preserve"> vragen</w:t>
      </w:r>
      <w:r>
        <w:t>:</w:t>
      </w:r>
      <w:r w:rsidRPr="004B3912">
        <w:t xml:space="preserve"> een richtlijn </w:t>
      </w:r>
      <w:r>
        <w:t>om</w:t>
      </w:r>
      <w:r w:rsidRPr="004B3912">
        <w:t xml:space="preserve"> op basis van enkele aannames het TZV-getal </w:t>
      </w:r>
      <w:r>
        <w:t xml:space="preserve">vast te stellen. </w:t>
      </w:r>
    </w:p>
    <w:p w14:paraId="7F0C9420" w14:textId="77777777" w:rsidR="00FF3A32" w:rsidRDefault="00FF3A32" w:rsidP="00FF3A32">
      <w:pPr>
        <w:pStyle w:val="Geenafstand"/>
      </w:pPr>
    </w:p>
    <w:p w14:paraId="209B7E12" w14:textId="77777777" w:rsidR="00FF3A32" w:rsidRPr="004B3912" w:rsidRDefault="00FF3A32" w:rsidP="00FF3A32">
      <w:pPr>
        <w:pStyle w:val="Geenafstand"/>
      </w:pPr>
      <w:r>
        <w:t>D</w:t>
      </w:r>
      <w:r w:rsidRPr="004B3912">
        <w:t>eze notitie zal – bij de release van een volgende versie van Proteus – in beknopte vorm worden overgenomen in de Proteushandleiding.</w:t>
      </w:r>
    </w:p>
    <w:p w14:paraId="0840487E" w14:textId="77777777" w:rsidR="00FF3A32" w:rsidRPr="004B3912" w:rsidRDefault="00FF3A32" w:rsidP="00FF3A32">
      <w:pPr>
        <w:pStyle w:val="Geenafstand"/>
      </w:pPr>
    </w:p>
    <w:p w14:paraId="2529B5FC" w14:textId="77777777" w:rsidR="00FF3A32" w:rsidRPr="00FF3A32" w:rsidRDefault="00FF3A32" w:rsidP="00FF3A32">
      <w:pPr>
        <w:pStyle w:val="Geenafstand"/>
        <w:rPr>
          <w:b/>
        </w:rPr>
      </w:pPr>
      <w:r w:rsidRPr="00FF3A32">
        <w:rPr>
          <w:b/>
        </w:rPr>
        <w:t>TZV</w:t>
      </w:r>
      <w:r>
        <w:rPr>
          <w:b/>
        </w:rPr>
        <w:t xml:space="preserve"> in plaats van BZV</w:t>
      </w:r>
    </w:p>
    <w:p w14:paraId="4C373E77" w14:textId="77777777" w:rsidR="00894938" w:rsidRDefault="00894938" w:rsidP="00894938">
      <w:pPr>
        <w:pStyle w:val="Geenafstand"/>
      </w:pPr>
      <w:r>
        <w:t xml:space="preserve">Uitgangspunten voor de TZV-waarde: </w:t>
      </w:r>
    </w:p>
    <w:p w14:paraId="7E6444BA" w14:textId="77777777" w:rsidR="00894938" w:rsidRDefault="00894938" w:rsidP="00894938">
      <w:pPr>
        <w:pStyle w:val="Geenafstand"/>
        <w:numPr>
          <w:ilvl w:val="0"/>
          <w:numId w:val="29"/>
        </w:numPr>
      </w:pPr>
      <w:r w:rsidRPr="004B3912">
        <w:t>het biologisch zuurstofverbruik</w:t>
      </w:r>
      <w:r>
        <w:t xml:space="preserve"> (</w:t>
      </w:r>
      <w:r w:rsidRPr="00E54F34">
        <w:rPr>
          <w:b/>
        </w:rPr>
        <w:t>BZV</w:t>
      </w:r>
      <w:r>
        <w:t xml:space="preserve">, </w:t>
      </w:r>
      <w:r w:rsidRPr="004B3912">
        <w:t xml:space="preserve">ook wel BOD, </w:t>
      </w:r>
      <w:proofErr w:type="spellStart"/>
      <w:r w:rsidRPr="004B3912">
        <w:t>Biological</w:t>
      </w:r>
      <w:proofErr w:type="spellEnd"/>
      <w:r w:rsidRPr="004B3912">
        <w:t xml:space="preserve"> </w:t>
      </w:r>
      <w:proofErr w:type="spellStart"/>
      <w:r w:rsidRPr="004B3912">
        <w:t>Oxygen</w:t>
      </w:r>
      <w:proofErr w:type="spellEnd"/>
      <w:r w:rsidRPr="004B3912">
        <w:t xml:space="preserve"> </w:t>
      </w:r>
      <w:proofErr w:type="spellStart"/>
      <w:r w:rsidRPr="004B3912">
        <w:t>Demand</w:t>
      </w:r>
      <w:proofErr w:type="spellEnd"/>
      <w:r w:rsidRPr="004B3912">
        <w:t>)</w:t>
      </w:r>
      <w:r>
        <w:t xml:space="preserve"> </w:t>
      </w:r>
      <w:r w:rsidRPr="004B3912">
        <w:t>van een stof</w:t>
      </w:r>
      <w:r>
        <w:t xml:space="preserve"> (uitgedrukt in gram zuurstof/gram stof), </w:t>
      </w:r>
    </w:p>
    <w:p w14:paraId="67AD8A2E" w14:textId="77777777" w:rsidR="00894938" w:rsidRDefault="00894938" w:rsidP="00894938">
      <w:pPr>
        <w:pStyle w:val="Geenafstand"/>
        <w:numPr>
          <w:ilvl w:val="0"/>
          <w:numId w:val="29"/>
        </w:numPr>
      </w:pPr>
      <w:r>
        <w:t xml:space="preserve">daarbij is de </w:t>
      </w:r>
      <w:r w:rsidRPr="004B3912">
        <w:t>BZV</w:t>
      </w:r>
      <w:r>
        <w:t>5 het uitgangspunt: het testresultaat na 5 dagen</w:t>
      </w:r>
    </w:p>
    <w:p w14:paraId="079AF53C" w14:textId="77777777" w:rsidR="00894938" w:rsidRDefault="00894938" w:rsidP="00894938">
      <w:pPr>
        <w:pStyle w:val="Geenafstand"/>
        <w:numPr>
          <w:ilvl w:val="0"/>
          <w:numId w:val="29"/>
        </w:numPr>
      </w:pPr>
      <w:r>
        <w:t xml:space="preserve">Bij ontbreken BZV wordt gezocht naar een benadering daarvoor </w:t>
      </w:r>
    </w:p>
    <w:p w14:paraId="5EBEAF33" w14:textId="77777777" w:rsidR="00894938" w:rsidRDefault="00894938" w:rsidP="003A0804">
      <w:pPr>
        <w:pStyle w:val="Geenafstand"/>
      </w:pPr>
    </w:p>
    <w:p w14:paraId="54541E67" w14:textId="77777777" w:rsidR="00C418FC" w:rsidRDefault="007B5983" w:rsidP="003A0804">
      <w:pPr>
        <w:pStyle w:val="Geenafstand"/>
      </w:pPr>
      <w:r>
        <w:lastRenderedPageBreak/>
        <w:t xml:space="preserve">Proteus gaat uit van de BZV5-waarde. </w:t>
      </w:r>
      <w:r w:rsidR="00FF3A32">
        <w:t>Als de BZV</w:t>
      </w:r>
      <w:r>
        <w:t>5</w:t>
      </w:r>
      <w:r w:rsidR="00FF3A32">
        <w:t xml:space="preserve"> ontbreekt, kan worden u</w:t>
      </w:r>
      <w:r w:rsidR="00F171F1">
        <w:t xml:space="preserve">itgeweken naar alternatieven, zoals </w:t>
      </w:r>
      <w:r w:rsidR="001A10E8">
        <w:t>CZV</w:t>
      </w:r>
      <w:r w:rsidR="00333AD8">
        <w:t xml:space="preserve"> (chemisch zuurstofverbruik)</w:t>
      </w:r>
      <w:r w:rsidR="001A10E8">
        <w:t>, ThZV</w:t>
      </w:r>
      <w:r w:rsidR="00333AD8">
        <w:t xml:space="preserve"> (theoretisch berekend zuurstofverbruik)</w:t>
      </w:r>
      <w:r w:rsidR="001A10E8">
        <w:t xml:space="preserve"> of </w:t>
      </w:r>
      <w:r w:rsidR="00C418FC">
        <w:t xml:space="preserve">andere tests zoals </w:t>
      </w:r>
      <w:r w:rsidR="001A10E8">
        <w:t>BZV28</w:t>
      </w:r>
      <w:r w:rsidR="00333AD8">
        <w:t xml:space="preserve"> (BZV in een 28 dagen test)</w:t>
      </w:r>
      <w:r w:rsidR="001A10E8">
        <w:t>.</w:t>
      </w:r>
      <w:r w:rsidR="00F171F1">
        <w:t xml:space="preserve"> </w:t>
      </w:r>
      <w:r w:rsidR="00F171F1" w:rsidRPr="00E54F34">
        <w:rPr>
          <w:u w:val="single"/>
        </w:rPr>
        <w:t>In bijlage 1</w:t>
      </w:r>
      <w:r w:rsidR="00F171F1">
        <w:t xml:space="preserve"> worden deze </w:t>
      </w:r>
      <w:r w:rsidR="00BA4E43">
        <w:t>parameters</w:t>
      </w:r>
      <w:r w:rsidR="00D96222">
        <w:t xml:space="preserve"> </w:t>
      </w:r>
      <w:r w:rsidR="008002C4">
        <w:t xml:space="preserve">toegelicht. </w:t>
      </w:r>
    </w:p>
    <w:p w14:paraId="3A1F3E51" w14:textId="77777777" w:rsidR="00C418FC" w:rsidRDefault="00C418FC" w:rsidP="003A0804">
      <w:pPr>
        <w:pStyle w:val="Geenafstand"/>
      </w:pPr>
    </w:p>
    <w:p w14:paraId="5BA68EA7" w14:textId="77777777" w:rsidR="00D50142" w:rsidRPr="004B3912" w:rsidRDefault="00894938" w:rsidP="003A0804">
      <w:pPr>
        <w:pStyle w:val="Geenafstand"/>
      </w:pPr>
      <w:r>
        <w:t>Genoemde</w:t>
      </w:r>
      <w:r w:rsidR="007B5983">
        <w:t xml:space="preserve"> alternatieven geven het zuurstofverbruik weer bij</w:t>
      </w:r>
      <w:r w:rsidR="008002C4">
        <w:t xml:space="preserve"> </w:t>
      </w:r>
      <w:r w:rsidR="00FF3A32">
        <w:t>volledige</w:t>
      </w:r>
      <w:r w:rsidR="008002C4">
        <w:t xml:space="preserve"> </w:t>
      </w:r>
      <w:r w:rsidR="00825173">
        <w:t xml:space="preserve">biologische </w:t>
      </w:r>
      <w:r w:rsidR="008002C4">
        <w:t xml:space="preserve">afbraak van de organische stof in </w:t>
      </w:r>
      <w:r w:rsidR="00C418FC">
        <w:t xml:space="preserve">het </w:t>
      </w:r>
      <w:r w:rsidR="008002C4">
        <w:t xml:space="preserve">oppervlaktewater of </w:t>
      </w:r>
      <w:r w:rsidR="00C418FC">
        <w:t xml:space="preserve">de </w:t>
      </w:r>
      <w:r w:rsidR="008002C4">
        <w:t>RWZI</w:t>
      </w:r>
      <w:r w:rsidR="007B5983">
        <w:t>.</w:t>
      </w:r>
      <w:r w:rsidR="008002C4">
        <w:t xml:space="preserve"> </w:t>
      </w:r>
      <w:r w:rsidR="007B5983">
        <w:t>H</w:t>
      </w:r>
      <w:r w:rsidR="008002C4">
        <w:t xml:space="preserve">et risicomodel </w:t>
      </w:r>
      <w:r w:rsidR="007B5983">
        <w:t>is gebaseerd op</w:t>
      </w:r>
      <w:r w:rsidR="00825173">
        <w:t xml:space="preserve"> </w:t>
      </w:r>
      <w:r w:rsidR="007B5983">
        <w:t xml:space="preserve">het zuurstofverbruik bij </w:t>
      </w:r>
      <w:r w:rsidR="00825173">
        <w:t>snelle (acute) biologische afbraak</w:t>
      </w:r>
      <w:r w:rsidR="00FF3A32">
        <w:t xml:space="preserve"> in korte tijd</w:t>
      </w:r>
      <w:r w:rsidR="007B5983">
        <w:t xml:space="preserve">. </w:t>
      </w:r>
      <w:r w:rsidR="00F171F1">
        <w:t>De</w:t>
      </w:r>
      <w:r w:rsidR="008002C4">
        <w:t xml:space="preserve"> alternatieve</w:t>
      </w:r>
      <w:r w:rsidR="00F171F1">
        <w:t xml:space="preserve"> </w:t>
      </w:r>
      <w:r w:rsidR="008002C4">
        <w:t>zuurstofverbruik-waarden</w:t>
      </w:r>
      <w:r w:rsidR="00F171F1">
        <w:t xml:space="preserve"> zijn </w:t>
      </w:r>
      <w:r w:rsidR="007B5983">
        <w:t>daardoor</w:t>
      </w:r>
      <w:r w:rsidR="00F171F1">
        <w:t xml:space="preserve"> hoger dan </w:t>
      </w:r>
      <w:r w:rsidR="00BA4E43">
        <w:t>de</w:t>
      </w:r>
      <w:r w:rsidR="00F171F1">
        <w:t xml:space="preserve"> BZV</w:t>
      </w:r>
      <w:r w:rsidR="00BA4E43">
        <w:t>5</w:t>
      </w:r>
      <w:r w:rsidR="00F171F1">
        <w:t>-</w:t>
      </w:r>
      <w:r w:rsidR="00BA4E43">
        <w:t>waarde</w:t>
      </w:r>
      <w:r w:rsidR="00F171F1">
        <w:t xml:space="preserve">, zodat behoefte is aan een afbreekbaarheidsfactor. </w:t>
      </w:r>
      <w:r w:rsidR="001A10E8" w:rsidRPr="00E54F34">
        <w:rPr>
          <w:u w:val="single"/>
        </w:rPr>
        <w:t xml:space="preserve">In bijlage </w:t>
      </w:r>
      <w:r w:rsidR="00E87AC8" w:rsidRPr="00E54F34">
        <w:rPr>
          <w:u w:val="single"/>
        </w:rPr>
        <w:t>2</w:t>
      </w:r>
      <w:r w:rsidR="00E87AC8">
        <w:t xml:space="preserve"> is hierover enige achtergrondinformatie </w:t>
      </w:r>
      <w:r w:rsidR="001A10E8">
        <w:t xml:space="preserve">gegeven. </w:t>
      </w:r>
    </w:p>
    <w:p w14:paraId="1FBB85B8" w14:textId="77777777" w:rsidR="00B11E44" w:rsidRDefault="00B11E44" w:rsidP="003A0804">
      <w:pPr>
        <w:pStyle w:val="Geenafstand"/>
      </w:pPr>
    </w:p>
    <w:p w14:paraId="7805B0A4" w14:textId="77777777" w:rsidR="00802532" w:rsidRDefault="00B11E44" w:rsidP="003A0804">
      <w:pPr>
        <w:pStyle w:val="Geenafstand"/>
      </w:pPr>
      <w:r>
        <w:t>I</w:t>
      </w:r>
      <w:r w:rsidR="00735730">
        <w:t xml:space="preserve">n voorkomende gevallen </w:t>
      </w:r>
      <w:r>
        <w:t xml:space="preserve">kan het een overweging zijn om alsnog </w:t>
      </w:r>
      <w:r w:rsidR="00735730">
        <w:t>een BZV</w:t>
      </w:r>
      <w:r w:rsidR="001A10E8">
        <w:t>5</w:t>
      </w:r>
      <w:r w:rsidR="00735730">
        <w:t>-</w:t>
      </w:r>
      <w:r w:rsidR="00BA4E43">
        <w:t xml:space="preserve">waarde </w:t>
      </w:r>
      <w:r w:rsidR="00735730">
        <w:t xml:space="preserve">te bepalen </w:t>
      </w:r>
      <w:r w:rsidR="00AA7242">
        <w:t xml:space="preserve">(in een laboratorium) </w:t>
      </w:r>
      <w:r w:rsidR="00735730">
        <w:t>en</w:t>
      </w:r>
      <w:r w:rsidR="0050505B">
        <w:t>/of</w:t>
      </w:r>
      <w:r w:rsidR="00735730">
        <w:t xml:space="preserve"> meer inzicht te krijgen in de mate van afbreekbaarheid</w:t>
      </w:r>
      <w:r w:rsidR="00333AD8">
        <w:t xml:space="preserve">, </w:t>
      </w:r>
      <w:r w:rsidR="00FF3A32">
        <w:t>met name</w:t>
      </w:r>
      <w:r w:rsidR="00333AD8">
        <w:t xml:space="preserve"> als de met Proteus berekende risico’s in het verhoogde gebied liggen.</w:t>
      </w:r>
    </w:p>
    <w:p w14:paraId="0D568AC1" w14:textId="77777777" w:rsidR="008233A3" w:rsidRDefault="008233A3" w:rsidP="003A0804">
      <w:pPr>
        <w:pStyle w:val="Geenafstand"/>
      </w:pPr>
    </w:p>
    <w:p w14:paraId="4C15B54D" w14:textId="77777777" w:rsidR="00045E29" w:rsidRPr="004B3912" w:rsidRDefault="00045E29" w:rsidP="003A0804">
      <w:pPr>
        <w:pStyle w:val="Geenafstand"/>
      </w:pPr>
    </w:p>
    <w:p w14:paraId="77D924BC" w14:textId="77777777" w:rsidR="006F3AB5" w:rsidRPr="004B3912" w:rsidRDefault="006F3AB5" w:rsidP="006F3AB5">
      <w:pPr>
        <w:pStyle w:val="Geenafstand"/>
        <w:rPr>
          <w:b/>
        </w:rPr>
      </w:pPr>
      <w:r w:rsidRPr="004B3912">
        <w:rPr>
          <w:b/>
        </w:rPr>
        <w:t>Globale systematiek voor invulwaarden van TZV in Proteus</w:t>
      </w:r>
    </w:p>
    <w:p w14:paraId="6063315D" w14:textId="2A8CE226" w:rsidR="00A72B49" w:rsidRDefault="004E2F3B" w:rsidP="004E2F3B">
      <w:pPr>
        <w:pStyle w:val="Geenafstand"/>
      </w:pPr>
      <w:r w:rsidRPr="004B3912">
        <w:t>Het</w:t>
      </w:r>
      <w:r w:rsidR="00AA1809" w:rsidRPr="004B3912">
        <w:t xml:space="preserve"> biologisch zuurstofverbruik door micro-organismen </w:t>
      </w:r>
      <w:r w:rsidRPr="004B3912">
        <w:t>blijft</w:t>
      </w:r>
      <w:r w:rsidR="002C3691">
        <w:t xml:space="preserve"> </w:t>
      </w:r>
      <w:r w:rsidRPr="004B3912">
        <w:t xml:space="preserve">de basis </w:t>
      </w:r>
      <w:r w:rsidR="00AA1809" w:rsidRPr="004B3912">
        <w:t>voor de berekeningen in Proteus</w:t>
      </w:r>
      <w:r w:rsidR="002C3691">
        <w:t xml:space="preserve">. </w:t>
      </w:r>
      <w:r w:rsidR="0059769D">
        <w:t>De BZV5 is</w:t>
      </w:r>
      <w:r w:rsidR="002C3691">
        <w:t xml:space="preserve"> de </w:t>
      </w:r>
      <w:r w:rsidR="002F51C0" w:rsidRPr="004B3912">
        <w:t xml:space="preserve">realistische maat voor </w:t>
      </w:r>
      <w:r w:rsidR="00AA7242">
        <w:t>snelle</w:t>
      </w:r>
      <w:r w:rsidR="002F51C0" w:rsidRPr="004B3912">
        <w:t xml:space="preserve"> </w:t>
      </w:r>
      <w:r w:rsidR="00AA1809" w:rsidRPr="004B3912">
        <w:t xml:space="preserve">zuurstofdepletie in het oppervlaktewater of </w:t>
      </w:r>
      <w:r w:rsidR="00735730">
        <w:t xml:space="preserve">de </w:t>
      </w:r>
      <w:r w:rsidR="00AA1809" w:rsidRPr="004B3912">
        <w:t>overbelasting in een RWZI.</w:t>
      </w:r>
      <w:r w:rsidRPr="004B3912">
        <w:t xml:space="preserve"> Daarom moeten </w:t>
      </w:r>
      <w:r w:rsidR="00A72B49">
        <w:t>CZV- en ThZV</w:t>
      </w:r>
      <w:r w:rsidRPr="004B3912">
        <w:t>-</w:t>
      </w:r>
      <w:r w:rsidR="0059769D">
        <w:t>waarden</w:t>
      </w:r>
      <w:r w:rsidR="0059769D" w:rsidRPr="004B3912">
        <w:t xml:space="preserve"> </w:t>
      </w:r>
      <w:r w:rsidR="00AA1809" w:rsidRPr="004B3912">
        <w:t xml:space="preserve">worden gecorrigeerd </w:t>
      </w:r>
      <w:r w:rsidR="002C3691">
        <w:t xml:space="preserve">met een afbreekbaarheidsfactor </w:t>
      </w:r>
      <w:r w:rsidR="00AA1809" w:rsidRPr="004B3912">
        <w:t xml:space="preserve">tot </w:t>
      </w:r>
      <w:r w:rsidR="00A72B49">
        <w:t>T</w:t>
      </w:r>
      <w:r w:rsidRPr="004B3912">
        <w:t>ZV-</w:t>
      </w:r>
      <w:r w:rsidR="0059769D">
        <w:t>waarden</w:t>
      </w:r>
      <w:r w:rsidR="0059769D" w:rsidRPr="004B3912">
        <w:t xml:space="preserve"> </w:t>
      </w:r>
      <w:r w:rsidRPr="004B3912">
        <w:t xml:space="preserve">als invulwaarden in Proteus. </w:t>
      </w:r>
    </w:p>
    <w:p w14:paraId="58699A5F" w14:textId="77777777" w:rsidR="00DA0928" w:rsidRDefault="00DA0928" w:rsidP="004E2F3B">
      <w:pPr>
        <w:pStyle w:val="Geenafstand"/>
      </w:pPr>
    </w:p>
    <w:p w14:paraId="66540354" w14:textId="77777777" w:rsidR="00DA0928" w:rsidRPr="004B3912" w:rsidRDefault="00DA0928" w:rsidP="00DA0928">
      <w:pPr>
        <w:pStyle w:val="Geenafstand"/>
      </w:pPr>
      <w:r>
        <w:t>TZV in Proteus:</w:t>
      </w:r>
    </w:p>
    <w:p w14:paraId="40109F08" w14:textId="77777777" w:rsidR="00DA0928" w:rsidRPr="004B3912" w:rsidRDefault="00DA0928" w:rsidP="00DA0928">
      <w:pPr>
        <w:pStyle w:val="Geenafstand"/>
        <w:numPr>
          <w:ilvl w:val="0"/>
          <w:numId w:val="17"/>
        </w:numPr>
      </w:pPr>
      <w:r w:rsidRPr="004B3912">
        <w:t xml:space="preserve">Wanneer </w:t>
      </w:r>
      <w:r>
        <w:t>de</w:t>
      </w:r>
      <w:r w:rsidRPr="004B3912">
        <w:t xml:space="preserve"> BZV</w:t>
      </w:r>
      <w:r>
        <w:t>5</w:t>
      </w:r>
      <w:r w:rsidRPr="004B3912">
        <w:t xml:space="preserve"> beschikbaar is in een MSDS of een database, dan kan dit als invulwaarde voor TZV in Proteus worden gebruikt. </w:t>
      </w:r>
    </w:p>
    <w:p w14:paraId="58B1D6DD" w14:textId="77777777" w:rsidR="00DA0928" w:rsidRPr="004B3912" w:rsidRDefault="00DA0928" w:rsidP="00DA0928">
      <w:pPr>
        <w:pStyle w:val="Geenafstand"/>
        <w:numPr>
          <w:ilvl w:val="0"/>
          <w:numId w:val="17"/>
        </w:numPr>
      </w:pPr>
      <w:r w:rsidRPr="004B3912">
        <w:t>Als er geen BZV</w:t>
      </w:r>
      <w:r>
        <w:t xml:space="preserve">5 </w:t>
      </w:r>
      <w:r w:rsidRPr="004B3912">
        <w:t>beschikbaar is, maar wel een CZV, dan moet daaruit een afgeleide BZV</w:t>
      </w:r>
      <w:r>
        <w:t>-waarde</w:t>
      </w:r>
      <w:r w:rsidRPr="004B3912">
        <w:t xml:space="preserve"> worden berekend als invulwaarde voor TZ</w:t>
      </w:r>
      <w:r>
        <w:t>V</w:t>
      </w:r>
      <w:r w:rsidRPr="004B3912">
        <w:t xml:space="preserve"> in Proteus. </w:t>
      </w:r>
    </w:p>
    <w:p w14:paraId="398CB7C6" w14:textId="77777777" w:rsidR="00DA0928" w:rsidRPr="004B3912" w:rsidRDefault="00DA0928" w:rsidP="00DA0928">
      <w:pPr>
        <w:pStyle w:val="Geenafstand"/>
        <w:numPr>
          <w:ilvl w:val="0"/>
          <w:numId w:val="17"/>
        </w:numPr>
      </w:pPr>
      <w:r w:rsidRPr="004B3912">
        <w:t>Bij afwezigheid van een CZV-</w:t>
      </w:r>
      <w:r>
        <w:t>waarde</w:t>
      </w:r>
      <w:r w:rsidRPr="004B3912">
        <w:t xml:space="preserve"> (fabrikant) kan een theoretische ThZV-waarde bepaald worden. De ThZV wordt vastgesteld door het theoretisch zuurstofverbruik (gram O2/ gram stof) te berekenen </w:t>
      </w:r>
      <w:r>
        <w:t>uit</w:t>
      </w:r>
      <w:r w:rsidRPr="004B3912">
        <w:t xml:space="preserve"> </w:t>
      </w:r>
      <w:r>
        <w:t>de</w:t>
      </w:r>
      <w:r w:rsidRPr="004B3912">
        <w:t xml:space="preserve"> oxidatiereactie van de stof. Ook </w:t>
      </w:r>
      <w:r>
        <w:t>ThZV</w:t>
      </w:r>
      <w:r w:rsidRPr="004B3912">
        <w:t xml:space="preserve"> moet worden omgerekend naar een afgeleid BZV-</w:t>
      </w:r>
      <w:r>
        <w:t>waarde</w:t>
      </w:r>
      <w:r w:rsidRPr="004B3912">
        <w:t xml:space="preserve"> als invulwaarde voor </w:t>
      </w:r>
      <w:r>
        <w:t>de</w:t>
      </w:r>
      <w:r w:rsidRPr="004B3912">
        <w:t xml:space="preserve"> TZV in Proteus. </w:t>
      </w:r>
    </w:p>
    <w:p w14:paraId="6672F873" w14:textId="77777777" w:rsidR="00A72B49" w:rsidRDefault="00A72B49" w:rsidP="004E2F3B">
      <w:pPr>
        <w:pStyle w:val="Geenafstand"/>
      </w:pPr>
    </w:p>
    <w:p w14:paraId="63B24597" w14:textId="77777777" w:rsidR="00DA0928" w:rsidRDefault="00DA0928" w:rsidP="004E2F3B">
      <w:pPr>
        <w:pStyle w:val="Geenafstand"/>
        <w:rPr>
          <w:u w:val="single"/>
        </w:rPr>
      </w:pPr>
    </w:p>
    <w:p w14:paraId="4924AEB0" w14:textId="77777777" w:rsidR="006C3229" w:rsidRPr="006C3229" w:rsidRDefault="00A72B49" w:rsidP="004E2F3B">
      <w:pPr>
        <w:pStyle w:val="Geenafstand"/>
        <w:rPr>
          <w:b/>
          <w:u w:val="single"/>
        </w:rPr>
      </w:pPr>
      <w:r w:rsidRPr="006C3229">
        <w:rPr>
          <w:u w:val="single"/>
        </w:rPr>
        <w:t xml:space="preserve">In formulevorm: </w:t>
      </w:r>
    </w:p>
    <w:p w14:paraId="1F4E60F1" w14:textId="77777777" w:rsidR="006C3229" w:rsidRDefault="006C3229" w:rsidP="004E2F3B">
      <w:pPr>
        <w:pStyle w:val="Geenafstand"/>
        <w:rPr>
          <w:b/>
        </w:rPr>
      </w:pPr>
    </w:p>
    <w:p w14:paraId="1CE9D093" w14:textId="77777777" w:rsidR="00DA0928" w:rsidRDefault="00DA0928" w:rsidP="006C3229">
      <w:pPr>
        <w:pStyle w:val="Geenafstand"/>
        <w:jc w:val="center"/>
        <w:rPr>
          <w:b/>
        </w:rPr>
      </w:pPr>
      <w:r>
        <w:rPr>
          <w:b/>
        </w:rPr>
        <w:t xml:space="preserve">TZV = BZV5, </w:t>
      </w:r>
    </w:p>
    <w:p w14:paraId="50F354C5" w14:textId="77777777" w:rsidR="00DA0928" w:rsidRDefault="00DA0928" w:rsidP="006C3229">
      <w:pPr>
        <w:pStyle w:val="Geenafstand"/>
        <w:jc w:val="center"/>
        <w:rPr>
          <w:b/>
        </w:rPr>
      </w:pPr>
    </w:p>
    <w:p w14:paraId="2207DA57" w14:textId="77777777" w:rsidR="00DA0928" w:rsidRDefault="00DA0928" w:rsidP="006C3229">
      <w:pPr>
        <w:pStyle w:val="Geenafstand"/>
        <w:jc w:val="center"/>
        <w:rPr>
          <w:b/>
        </w:rPr>
      </w:pPr>
      <w:r>
        <w:rPr>
          <w:b/>
        </w:rPr>
        <w:t>Of:</w:t>
      </w:r>
    </w:p>
    <w:p w14:paraId="22500E1B" w14:textId="77777777" w:rsidR="00E54F34" w:rsidRDefault="00E54F34" w:rsidP="006C3229">
      <w:pPr>
        <w:pStyle w:val="Geenafstand"/>
        <w:jc w:val="center"/>
        <w:rPr>
          <w:b/>
        </w:rPr>
      </w:pPr>
    </w:p>
    <w:p w14:paraId="7439D4C2" w14:textId="77777777" w:rsidR="002C3691" w:rsidRPr="006C3229" w:rsidRDefault="006C3229" w:rsidP="006C3229">
      <w:pPr>
        <w:pStyle w:val="Geenafstand"/>
        <w:jc w:val="center"/>
        <w:rPr>
          <w:b/>
        </w:rPr>
      </w:pPr>
      <w:r>
        <w:rPr>
          <w:b/>
        </w:rPr>
        <w:t>T</w:t>
      </w:r>
      <w:r w:rsidR="00A72B49" w:rsidRPr="006C3229">
        <w:rPr>
          <w:b/>
        </w:rPr>
        <w:t xml:space="preserve">ZV </w:t>
      </w:r>
      <w:r w:rsidR="00DA0928">
        <w:rPr>
          <w:b/>
        </w:rPr>
        <w:t xml:space="preserve"> </w:t>
      </w:r>
      <w:r w:rsidR="00A72B49" w:rsidRPr="006C3229">
        <w:rPr>
          <w:b/>
        </w:rPr>
        <w:t xml:space="preserve">= </w:t>
      </w:r>
      <w:r w:rsidR="00DA0928">
        <w:rPr>
          <w:b/>
        </w:rPr>
        <w:t xml:space="preserve"> </w:t>
      </w:r>
      <w:proofErr w:type="spellStart"/>
      <w:r w:rsidR="00DA0928" w:rsidRPr="00C24017">
        <w:rPr>
          <w:b/>
          <w:szCs w:val="18"/>
        </w:rPr>
        <w:t>BZV</w:t>
      </w:r>
      <w:r w:rsidR="00DA0928" w:rsidRPr="00C24017">
        <w:rPr>
          <w:b/>
          <w:szCs w:val="18"/>
          <w:vertAlign w:val="subscript"/>
        </w:rPr>
        <w:t>afgeleid</w:t>
      </w:r>
      <w:proofErr w:type="spellEnd"/>
      <w:r w:rsidR="00DA0928">
        <w:rPr>
          <w:b/>
          <w:szCs w:val="18"/>
        </w:rPr>
        <w:t xml:space="preserve">  =   </w:t>
      </w:r>
      <w:r w:rsidR="00A72B49" w:rsidRPr="006C3229">
        <w:rPr>
          <w:b/>
        </w:rPr>
        <w:t>Afbreekbaarheidsfactor x (CZV of ThZV).</w:t>
      </w:r>
    </w:p>
    <w:p w14:paraId="69A40418" w14:textId="77777777" w:rsidR="002C3691" w:rsidRDefault="002C3691" w:rsidP="004E2F3B">
      <w:pPr>
        <w:pStyle w:val="Geenafstand"/>
      </w:pPr>
    </w:p>
    <w:p w14:paraId="543E0308" w14:textId="77777777" w:rsidR="006C3229" w:rsidRDefault="006C3229" w:rsidP="004E2F3B">
      <w:pPr>
        <w:pStyle w:val="Geenafstand"/>
      </w:pPr>
    </w:p>
    <w:p w14:paraId="6A071C7A" w14:textId="77777777" w:rsidR="00CF0E65" w:rsidRDefault="00CF0E65" w:rsidP="007D08B9">
      <w:pPr>
        <w:pStyle w:val="Geenafstand"/>
        <w:rPr>
          <w:u w:val="single"/>
        </w:rPr>
      </w:pPr>
    </w:p>
    <w:p w14:paraId="2DDC549B" w14:textId="77777777" w:rsidR="00D36C50" w:rsidRPr="00D737EC" w:rsidRDefault="00F92ABE" w:rsidP="007D08B9">
      <w:pPr>
        <w:pStyle w:val="Geenafstand"/>
        <w:rPr>
          <w:u w:val="single"/>
        </w:rPr>
      </w:pPr>
      <w:r w:rsidRPr="00D737EC">
        <w:rPr>
          <w:u w:val="single"/>
        </w:rPr>
        <w:lastRenderedPageBreak/>
        <w:t>Voorbeeld</w:t>
      </w:r>
      <w:r w:rsidR="00D36C50" w:rsidRPr="00D737EC">
        <w:rPr>
          <w:u w:val="single"/>
        </w:rPr>
        <w:t xml:space="preserve"> voor </w:t>
      </w:r>
      <w:r w:rsidR="0023419C" w:rsidRPr="00D737EC">
        <w:rPr>
          <w:u w:val="single"/>
        </w:rPr>
        <w:t xml:space="preserve">het berekenen van </w:t>
      </w:r>
      <w:r w:rsidR="00D36C50" w:rsidRPr="00D737EC">
        <w:rPr>
          <w:u w:val="single"/>
        </w:rPr>
        <w:t>ThZV</w:t>
      </w:r>
    </w:p>
    <w:p w14:paraId="78A68171" w14:textId="77777777" w:rsidR="00B11E44" w:rsidRDefault="00B11E44" w:rsidP="007D08B9">
      <w:pPr>
        <w:pStyle w:val="Geenafstand"/>
      </w:pPr>
      <w:r w:rsidRPr="004B3912">
        <w:t>Een ThZV-</w:t>
      </w:r>
      <w:r w:rsidR="00CF0E65">
        <w:t>waarde</w:t>
      </w:r>
      <w:r w:rsidRPr="004B3912">
        <w:t xml:space="preserve"> kan eenvoudig worden berekend uit de oxidatie reactie.</w:t>
      </w:r>
      <w:r>
        <w:t xml:space="preserve"> Hier is als voorbeeld de stof e</w:t>
      </w:r>
      <w:r w:rsidR="00F92ABE" w:rsidRPr="004B3912">
        <w:t xml:space="preserve">thanol </w:t>
      </w:r>
      <w:r>
        <w:t>gekozen (hoewel voor ethanol wel een BZV-getal gevonden kan worden).</w:t>
      </w:r>
    </w:p>
    <w:p w14:paraId="26C0C2AA" w14:textId="77777777" w:rsidR="00B11E44" w:rsidRDefault="00B11E44" w:rsidP="007D08B9">
      <w:pPr>
        <w:pStyle w:val="Geenafstand"/>
      </w:pPr>
    </w:p>
    <w:p w14:paraId="4BF8BBEA" w14:textId="77777777" w:rsidR="008C0372" w:rsidRDefault="00F92ABE" w:rsidP="007D08B9">
      <w:pPr>
        <w:pStyle w:val="Geenafstand"/>
      </w:pPr>
      <w:r w:rsidRPr="004B3912">
        <w:t>De reactievergelijking</w:t>
      </w:r>
      <w:r w:rsidR="007215F0">
        <w:t xml:space="preserve"> vormt de basis</w:t>
      </w:r>
      <w:r w:rsidRPr="004B3912">
        <w:t xml:space="preserve">: C2H5OH + 3 O2 </w:t>
      </w:r>
      <w:r w:rsidRPr="004B3912">
        <w:sym w:font="Wingdings" w:char="F0E0"/>
      </w:r>
      <w:r w:rsidRPr="004B3912">
        <w:t xml:space="preserve"> 2CO2 + 3H2O.</w:t>
      </w:r>
      <w:r w:rsidR="008C0372">
        <w:t xml:space="preserve"> </w:t>
      </w:r>
    </w:p>
    <w:p w14:paraId="204DD6C7" w14:textId="77777777" w:rsidR="00295D20" w:rsidRPr="004B3912" w:rsidRDefault="00964922" w:rsidP="007D08B9">
      <w:pPr>
        <w:pStyle w:val="Geenafstand"/>
      </w:pPr>
      <w:r w:rsidRPr="004B3912">
        <w:t>Hieruit volgt dat e</w:t>
      </w:r>
      <w:r w:rsidR="00005D0D">
        <w:t>r 96 gram zuurstof nodig is om 4</w:t>
      </w:r>
      <w:r w:rsidRPr="004B3912">
        <w:t xml:space="preserve">6 g ethanol te oxideren. Het ThZV-getal volgt dan uit 96 g zuurstof / </w:t>
      </w:r>
      <w:r w:rsidR="00C36AB1" w:rsidRPr="004B3912">
        <w:t>4</w:t>
      </w:r>
      <w:r w:rsidR="00D978C5" w:rsidRPr="004B3912">
        <w:t xml:space="preserve">6 g </w:t>
      </w:r>
      <w:r w:rsidRPr="004B3912">
        <w:t xml:space="preserve">ethanol </w:t>
      </w:r>
      <w:r w:rsidRPr="004B3912">
        <w:sym w:font="Wingdings" w:char="F0E8"/>
      </w:r>
      <w:r w:rsidRPr="004B3912">
        <w:t xml:space="preserve"> </w:t>
      </w:r>
      <w:r w:rsidR="00C36AB1" w:rsidRPr="004B3912">
        <w:t>2,08 g O2/g stof.</w:t>
      </w:r>
      <w:r w:rsidR="002F51C0" w:rsidRPr="004B3912">
        <w:t xml:space="preserve"> </w:t>
      </w:r>
    </w:p>
    <w:p w14:paraId="653550CE" w14:textId="77777777" w:rsidR="00A61661" w:rsidRDefault="00A61661" w:rsidP="007D08B9">
      <w:pPr>
        <w:pStyle w:val="Geenafstand"/>
        <w:rPr>
          <w:u w:val="single"/>
        </w:rPr>
      </w:pPr>
    </w:p>
    <w:p w14:paraId="4969D7BC" w14:textId="77777777" w:rsidR="0023419C" w:rsidRPr="00D737EC" w:rsidRDefault="0023419C" w:rsidP="007D08B9">
      <w:pPr>
        <w:pStyle w:val="Geenafstand"/>
        <w:rPr>
          <w:u w:val="single"/>
        </w:rPr>
      </w:pPr>
      <w:r w:rsidRPr="00D737EC">
        <w:rPr>
          <w:u w:val="single"/>
        </w:rPr>
        <w:t xml:space="preserve">Voorbeeld </w:t>
      </w:r>
      <w:r w:rsidR="007215F0">
        <w:rPr>
          <w:u w:val="single"/>
        </w:rPr>
        <w:t xml:space="preserve">afbreekbaarheidsfactor </w:t>
      </w:r>
      <w:r w:rsidRPr="00D737EC">
        <w:rPr>
          <w:u w:val="single"/>
        </w:rPr>
        <w:t>aan de hand van ethanol:</w:t>
      </w:r>
    </w:p>
    <w:p w14:paraId="7C862C86" w14:textId="77777777" w:rsidR="007D08B9" w:rsidRDefault="00D36C50" w:rsidP="007D08B9">
      <w:pPr>
        <w:pStyle w:val="Geenafstand"/>
      </w:pPr>
      <w:r>
        <w:t>Voor ethanol is een BZV-</w:t>
      </w:r>
      <w:r w:rsidR="00283D71">
        <w:t xml:space="preserve">waarde </w:t>
      </w:r>
      <w:r>
        <w:t xml:space="preserve">bekend, dus is er geen afbreekbaarheidsfactor nodig. </w:t>
      </w:r>
      <w:r w:rsidR="00283D71">
        <w:t>Het</w:t>
      </w:r>
      <w:r w:rsidR="00283D71" w:rsidRPr="004B3912">
        <w:t xml:space="preserve"> </w:t>
      </w:r>
      <w:r w:rsidR="00295D20" w:rsidRPr="004B3912">
        <w:t xml:space="preserve">BZV-getal voor ethanol </w:t>
      </w:r>
      <w:r w:rsidR="00D978C5" w:rsidRPr="004B3912">
        <w:t xml:space="preserve">ligt </w:t>
      </w:r>
      <w:r w:rsidR="00295D20" w:rsidRPr="004B3912">
        <w:t xml:space="preserve">op basis van </w:t>
      </w:r>
      <w:r w:rsidR="0023419C">
        <w:t xml:space="preserve">gegevens uit </w:t>
      </w:r>
      <w:r w:rsidR="00295D20" w:rsidRPr="004B3912">
        <w:t>testonderzoek in de range van 0,93 – 1,67 g O2/g stof. De spreiding in de BZV-waarden zijn het ge</w:t>
      </w:r>
      <w:r w:rsidR="00D978C5" w:rsidRPr="004B3912">
        <w:t xml:space="preserve">volg van de testomstandigheden. </w:t>
      </w:r>
      <w:r w:rsidR="00295D20" w:rsidRPr="004B3912">
        <w:t>Gemiddeld is de verhouding BZV/T</w:t>
      </w:r>
      <w:r>
        <w:t>h</w:t>
      </w:r>
      <w:r w:rsidR="00295D20" w:rsidRPr="004B3912">
        <w:t xml:space="preserve">ZV ≈ 1,3/2,08 = 0,625 (met een range van </w:t>
      </w:r>
      <w:r w:rsidR="00EC54BD" w:rsidRPr="004B3912">
        <w:t>0,45 – 0,82).</w:t>
      </w:r>
      <w:r>
        <w:t xml:space="preserve"> BZV/ThZV is gelijk aan de afbreekbaarheidsfactor, en deze varieert dus van 0,45 tot 0,82. </w:t>
      </w:r>
    </w:p>
    <w:p w14:paraId="4266F9BB" w14:textId="77777777" w:rsidR="007D08B9" w:rsidRDefault="007D08B9" w:rsidP="007D08B9">
      <w:pPr>
        <w:pStyle w:val="Geenafstand"/>
      </w:pPr>
    </w:p>
    <w:p w14:paraId="038747E4" w14:textId="77777777" w:rsidR="00A61661" w:rsidRDefault="00A61661" w:rsidP="007D08B9">
      <w:pPr>
        <w:pStyle w:val="Geenafstand"/>
        <w:rPr>
          <w:b/>
        </w:rPr>
      </w:pPr>
    </w:p>
    <w:p w14:paraId="77DD97D8" w14:textId="77777777" w:rsidR="009052FB" w:rsidRPr="006C3229" w:rsidRDefault="009052FB" w:rsidP="007D08B9">
      <w:pPr>
        <w:pStyle w:val="Geenafstand"/>
        <w:rPr>
          <w:b/>
        </w:rPr>
      </w:pPr>
      <w:r w:rsidRPr="006C3229">
        <w:rPr>
          <w:b/>
        </w:rPr>
        <w:t>Categorieën voor afbreekbaarheid</w:t>
      </w:r>
    </w:p>
    <w:p w14:paraId="0B172525" w14:textId="77777777" w:rsidR="009052FB" w:rsidRDefault="008C0372" w:rsidP="007D08B9">
      <w:pPr>
        <w:pStyle w:val="Geenafstand"/>
      </w:pPr>
      <w:r>
        <w:t xml:space="preserve">In Proteus is gekozen voor 4 categorieën </w:t>
      </w:r>
      <w:r w:rsidR="0050505B">
        <w:t>voor</w:t>
      </w:r>
      <w:r>
        <w:t xml:space="preserve"> de afbreekbaarheidsfactor. Zie tabel 1.</w:t>
      </w:r>
    </w:p>
    <w:p w14:paraId="11F8B0AB" w14:textId="77777777" w:rsidR="008C0372" w:rsidRDefault="008C0372" w:rsidP="007D08B9">
      <w:pPr>
        <w:pStyle w:val="Geenafstand"/>
      </w:pPr>
    </w:p>
    <w:p w14:paraId="0C9E5AC1" w14:textId="77777777" w:rsidR="0023419C" w:rsidRPr="0023419C" w:rsidRDefault="0023419C" w:rsidP="0023419C">
      <w:pPr>
        <w:pStyle w:val="Geenafstand"/>
        <w:rPr>
          <w:i/>
          <w:u w:val="single"/>
        </w:rPr>
      </w:pPr>
      <w:r w:rsidRPr="0023419C">
        <w:rPr>
          <w:i/>
          <w:u w:val="single"/>
        </w:rPr>
        <w:t>Tabel 1: Afbreekbaarheidsfactoren</w:t>
      </w:r>
    </w:p>
    <w:tbl>
      <w:tblPr>
        <w:tblStyle w:val="Tabelraster"/>
        <w:tblW w:w="5000" w:type="pct"/>
        <w:tblLook w:val="04A0" w:firstRow="1" w:lastRow="0" w:firstColumn="1" w:lastColumn="0" w:noHBand="0" w:noVBand="1"/>
      </w:tblPr>
      <w:tblGrid>
        <w:gridCol w:w="5291"/>
        <w:gridCol w:w="3725"/>
      </w:tblGrid>
      <w:tr w:rsidR="006C3229" w:rsidRPr="0023419C" w14:paraId="184BE43F" w14:textId="77777777" w:rsidTr="006C3229">
        <w:tc>
          <w:tcPr>
            <w:tcW w:w="2934" w:type="pct"/>
          </w:tcPr>
          <w:p w14:paraId="320C4E4B" w14:textId="77777777" w:rsidR="006C3229" w:rsidRPr="0023419C" w:rsidRDefault="006C3229" w:rsidP="0023419C">
            <w:pPr>
              <w:pStyle w:val="Geenafstand"/>
              <w:rPr>
                <w:b/>
              </w:rPr>
            </w:pPr>
            <w:r w:rsidRPr="0023419C">
              <w:rPr>
                <w:b/>
              </w:rPr>
              <w:t>Categorie</w:t>
            </w:r>
          </w:p>
        </w:tc>
        <w:tc>
          <w:tcPr>
            <w:tcW w:w="2066" w:type="pct"/>
          </w:tcPr>
          <w:p w14:paraId="1D246538" w14:textId="77777777" w:rsidR="006C3229" w:rsidRPr="0023419C" w:rsidRDefault="006C3229" w:rsidP="00C24017">
            <w:pPr>
              <w:pStyle w:val="Geenafstand"/>
              <w:jc w:val="center"/>
              <w:rPr>
                <w:b/>
              </w:rPr>
            </w:pPr>
            <w:r w:rsidRPr="0023419C">
              <w:rPr>
                <w:b/>
              </w:rPr>
              <w:t>A</w:t>
            </w:r>
            <w:r w:rsidR="00C24017">
              <w:rPr>
                <w:b/>
              </w:rPr>
              <w:t>fbreekbaarheidsfactor (BZV/ThZV of BZV/CZV)</w:t>
            </w:r>
          </w:p>
        </w:tc>
      </w:tr>
      <w:tr w:rsidR="006C3229" w:rsidRPr="0023419C" w14:paraId="18BCE1EB" w14:textId="77777777" w:rsidTr="006C3229">
        <w:tc>
          <w:tcPr>
            <w:tcW w:w="2934" w:type="pct"/>
          </w:tcPr>
          <w:p w14:paraId="328002A1" w14:textId="77777777" w:rsidR="006C3229" w:rsidRPr="0023419C" w:rsidRDefault="006C3229" w:rsidP="0023419C">
            <w:pPr>
              <w:pStyle w:val="Geenafstand"/>
            </w:pPr>
            <w:r w:rsidRPr="0023419C">
              <w:t>1. Snel afbreekbare stoffen</w:t>
            </w:r>
          </w:p>
        </w:tc>
        <w:tc>
          <w:tcPr>
            <w:tcW w:w="2066" w:type="pct"/>
          </w:tcPr>
          <w:p w14:paraId="73F1A7BD" w14:textId="77777777" w:rsidR="006C3229" w:rsidRPr="0023419C" w:rsidRDefault="006C3229" w:rsidP="00D737EC">
            <w:pPr>
              <w:pStyle w:val="Geenafstand"/>
              <w:jc w:val="center"/>
            </w:pPr>
            <w:r w:rsidRPr="0023419C">
              <w:t>0,75</w:t>
            </w:r>
          </w:p>
        </w:tc>
      </w:tr>
      <w:tr w:rsidR="006C3229" w:rsidRPr="0023419C" w14:paraId="1FB5D111" w14:textId="77777777" w:rsidTr="006C3229">
        <w:tc>
          <w:tcPr>
            <w:tcW w:w="2934" w:type="pct"/>
          </w:tcPr>
          <w:p w14:paraId="2133A959" w14:textId="77777777" w:rsidR="006C3229" w:rsidRPr="0023419C" w:rsidRDefault="006C3229" w:rsidP="0023419C">
            <w:pPr>
              <w:pStyle w:val="Geenafstand"/>
            </w:pPr>
            <w:r w:rsidRPr="0023419C">
              <w:t>2. Gemakkelijk afbreekbare stoffen</w:t>
            </w:r>
          </w:p>
        </w:tc>
        <w:tc>
          <w:tcPr>
            <w:tcW w:w="2066" w:type="pct"/>
          </w:tcPr>
          <w:p w14:paraId="55F47EEB" w14:textId="77777777" w:rsidR="006C3229" w:rsidRPr="0023419C" w:rsidRDefault="006C3229" w:rsidP="00D737EC">
            <w:pPr>
              <w:pStyle w:val="Geenafstand"/>
              <w:jc w:val="center"/>
            </w:pPr>
            <w:r w:rsidRPr="0023419C">
              <w:t>0,50</w:t>
            </w:r>
          </w:p>
        </w:tc>
      </w:tr>
      <w:tr w:rsidR="006C3229" w:rsidRPr="0023419C" w14:paraId="5FECEF07" w14:textId="77777777" w:rsidTr="006C3229">
        <w:tc>
          <w:tcPr>
            <w:tcW w:w="2934" w:type="pct"/>
          </w:tcPr>
          <w:p w14:paraId="1D224EE5" w14:textId="77777777" w:rsidR="006C3229" w:rsidRPr="0023419C" w:rsidRDefault="006C3229" w:rsidP="0023419C">
            <w:pPr>
              <w:pStyle w:val="Geenafstand"/>
            </w:pPr>
            <w:r w:rsidRPr="0023419C">
              <w:t>3. Niet gemakkelijk afbreekbare stoffen</w:t>
            </w:r>
          </w:p>
        </w:tc>
        <w:tc>
          <w:tcPr>
            <w:tcW w:w="2066" w:type="pct"/>
          </w:tcPr>
          <w:p w14:paraId="4839793D" w14:textId="77777777" w:rsidR="006C3229" w:rsidRPr="0023419C" w:rsidRDefault="006C3229" w:rsidP="00D737EC">
            <w:pPr>
              <w:pStyle w:val="Geenafstand"/>
              <w:jc w:val="center"/>
            </w:pPr>
            <w:r w:rsidRPr="0023419C">
              <w:t>0,25</w:t>
            </w:r>
          </w:p>
        </w:tc>
      </w:tr>
      <w:tr w:rsidR="006C3229" w:rsidRPr="0023419C" w14:paraId="6DD95FDA" w14:textId="77777777" w:rsidTr="006C3229">
        <w:tc>
          <w:tcPr>
            <w:tcW w:w="2934" w:type="pct"/>
          </w:tcPr>
          <w:p w14:paraId="1F9ABF87" w14:textId="77777777" w:rsidR="006C3229" w:rsidRPr="0023419C" w:rsidRDefault="006C3229" w:rsidP="0023419C">
            <w:pPr>
              <w:pStyle w:val="Geenafstand"/>
            </w:pPr>
            <w:r w:rsidRPr="0023419C">
              <w:t>4. Slecht afbreekbare stoffen</w:t>
            </w:r>
          </w:p>
        </w:tc>
        <w:tc>
          <w:tcPr>
            <w:tcW w:w="2066" w:type="pct"/>
          </w:tcPr>
          <w:p w14:paraId="0EB26BAC" w14:textId="77777777" w:rsidR="006C3229" w:rsidRPr="0023419C" w:rsidRDefault="006C3229" w:rsidP="00D737EC">
            <w:pPr>
              <w:pStyle w:val="Geenafstand"/>
              <w:jc w:val="center"/>
            </w:pPr>
            <w:r w:rsidRPr="0023419C">
              <w:t>0,10</w:t>
            </w:r>
          </w:p>
        </w:tc>
      </w:tr>
    </w:tbl>
    <w:p w14:paraId="473F1B24" w14:textId="77777777" w:rsidR="00C24017" w:rsidRDefault="00C24017" w:rsidP="0023419C">
      <w:pPr>
        <w:pStyle w:val="Geenafstand"/>
        <w:rPr>
          <w:u w:val="single"/>
        </w:rPr>
      </w:pPr>
    </w:p>
    <w:p w14:paraId="5B01121D" w14:textId="77777777" w:rsidR="0023419C" w:rsidRPr="0023419C" w:rsidRDefault="0023419C" w:rsidP="0023419C">
      <w:pPr>
        <w:pStyle w:val="Geenafstand"/>
      </w:pPr>
      <w:r w:rsidRPr="00D737EC">
        <w:rPr>
          <w:u w:val="single"/>
        </w:rPr>
        <w:t>Legenda</w:t>
      </w:r>
      <w:r w:rsidRPr="0023419C">
        <w:t>:</w:t>
      </w:r>
    </w:p>
    <w:p w14:paraId="5320BACD" w14:textId="77777777" w:rsidR="007B5983" w:rsidRDefault="0023419C" w:rsidP="0023419C">
      <w:pPr>
        <w:pStyle w:val="Geenafstand"/>
        <w:numPr>
          <w:ilvl w:val="0"/>
          <w:numId w:val="18"/>
        </w:numPr>
      </w:pPr>
      <w:r w:rsidRPr="0023419C">
        <w:t xml:space="preserve">Categorie 1: </w:t>
      </w:r>
    </w:p>
    <w:p w14:paraId="29AB2344" w14:textId="77777777" w:rsidR="0023419C" w:rsidRPr="0023419C" w:rsidRDefault="009052FB" w:rsidP="007B5983">
      <w:pPr>
        <w:pStyle w:val="Geenafstand"/>
        <w:numPr>
          <w:ilvl w:val="1"/>
          <w:numId w:val="18"/>
        </w:numPr>
      </w:pPr>
      <w:r>
        <w:t>E</w:t>
      </w:r>
      <w:r w:rsidR="0023419C" w:rsidRPr="0023419C">
        <w:t xml:space="preserve">en stof </w:t>
      </w:r>
      <w:r w:rsidR="007215F0">
        <w:t xml:space="preserve">die </w:t>
      </w:r>
      <w:r w:rsidR="0023419C" w:rsidRPr="0023419C">
        <w:t>v</w:t>
      </w:r>
      <w:r>
        <w:t>oldoet aan de voorwaarden van</w:t>
      </w:r>
      <w:r w:rsidR="0023419C" w:rsidRPr="0023419C">
        <w:t xml:space="preserve"> RBT (ready </w:t>
      </w:r>
      <w:proofErr w:type="spellStart"/>
      <w:r w:rsidR="0023419C" w:rsidRPr="0023419C">
        <w:t>biodegrad</w:t>
      </w:r>
      <w:r w:rsidR="007215F0">
        <w:t>ability</w:t>
      </w:r>
      <w:proofErr w:type="spellEnd"/>
      <w:r w:rsidR="007215F0">
        <w:t xml:space="preserve"> test volgens OECD 301</w:t>
      </w:r>
      <w:r w:rsidR="00FC5C9B">
        <w:t xml:space="preserve"> of OECD 310</w:t>
      </w:r>
      <w:r w:rsidR="007215F0">
        <w:t>) valt in categorie 1.</w:t>
      </w:r>
    </w:p>
    <w:p w14:paraId="2574A48C" w14:textId="77777777" w:rsidR="008C0372" w:rsidRPr="004B3912" w:rsidRDefault="008C0372" w:rsidP="007B5983">
      <w:pPr>
        <w:pStyle w:val="Geenafstand"/>
        <w:numPr>
          <w:ilvl w:val="1"/>
          <w:numId w:val="18"/>
        </w:numPr>
      </w:pPr>
      <w:r>
        <w:t xml:space="preserve">Wanneer gegevens over de afbreekbaarheidsfactor ontbreken, dient worst case een factor van 0,75 te worden gebruikt (categorie 1); het verdient overweging om in dergelijke gevallen de afbreekbaarheidsfactor alsnog te (laten) bepalen aan de hand van de verhouding tussen te meten BZV en CZV van de betrokken stof. </w:t>
      </w:r>
    </w:p>
    <w:p w14:paraId="06D95539" w14:textId="77777777" w:rsidR="008D1BDF" w:rsidRDefault="0002248C" w:rsidP="007B5983">
      <w:pPr>
        <w:pStyle w:val="Geenafstand"/>
        <w:numPr>
          <w:ilvl w:val="0"/>
          <w:numId w:val="18"/>
        </w:numPr>
      </w:pPr>
      <w:r>
        <w:t>Overige Categorieën</w:t>
      </w:r>
      <w:r w:rsidR="007B5983">
        <w:t>:</w:t>
      </w:r>
    </w:p>
    <w:p w14:paraId="5AA70E53" w14:textId="77777777" w:rsidR="0002248C" w:rsidRDefault="007215F0" w:rsidP="008D1BDF">
      <w:pPr>
        <w:pStyle w:val="Geenafstand"/>
        <w:numPr>
          <w:ilvl w:val="1"/>
          <w:numId w:val="18"/>
        </w:numPr>
      </w:pPr>
      <w:r>
        <w:t>De s</w:t>
      </w:r>
      <w:r w:rsidR="009052FB">
        <w:t>tof voldoet niet aan de voorwaarden van RBT, maar breekt in een lager percentage af</w:t>
      </w:r>
      <w:r w:rsidR="00665233">
        <w:t>. Dit moet</w:t>
      </w:r>
      <w:r w:rsidR="008C0372">
        <w:t xml:space="preserve"> </w:t>
      </w:r>
      <w:r w:rsidR="00665233">
        <w:t xml:space="preserve">worden aangetoond aan de hand van </w:t>
      </w:r>
      <w:r w:rsidR="009052FB">
        <w:t>testresultaten</w:t>
      </w:r>
      <w:r w:rsidR="00FC5C9B">
        <w:t>. Te denken valt aan resultaten uit</w:t>
      </w:r>
      <w:r w:rsidR="009052FB">
        <w:t xml:space="preserve"> een RBT</w:t>
      </w:r>
      <w:r w:rsidR="00FC5C9B">
        <w:t xml:space="preserve"> waarbij niet aan afbraak binnen 10 dagen wordt voldaan, een Inherent test volgens OECD 302</w:t>
      </w:r>
      <w:r>
        <w:t>,</w:t>
      </w:r>
      <w:r w:rsidR="009052FB">
        <w:t xml:space="preserve"> </w:t>
      </w:r>
      <w:r>
        <w:t xml:space="preserve">een </w:t>
      </w:r>
      <w:r w:rsidR="00FC5C9B">
        <w:t>actief slib batch test</w:t>
      </w:r>
      <w:r>
        <w:t xml:space="preserve"> </w:t>
      </w:r>
      <w:r w:rsidR="00FC5C9B">
        <w:t xml:space="preserve">volgens OECD 314 B of </w:t>
      </w:r>
      <w:r>
        <w:t>een</w:t>
      </w:r>
      <w:r w:rsidR="00FC5C9B">
        <w:t xml:space="preserve"> actiefslib simulatietest</w:t>
      </w:r>
      <w:r>
        <w:t xml:space="preserve"> </w:t>
      </w:r>
      <w:r w:rsidR="00FC5C9B">
        <w:t>volgens OECD303 A</w:t>
      </w:r>
      <w:r>
        <w:t xml:space="preserve">. </w:t>
      </w:r>
    </w:p>
    <w:p w14:paraId="55DD5CD8" w14:textId="77777777" w:rsidR="008C0372" w:rsidRDefault="008C0372" w:rsidP="002A3414">
      <w:pPr>
        <w:pStyle w:val="Geenafstand"/>
        <w:rPr>
          <w:szCs w:val="18"/>
        </w:rPr>
      </w:pPr>
    </w:p>
    <w:p w14:paraId="283FAA61" w14:textId="77777777" w:rsidR="0034168A" w:rsidRDefault="0034168A" w:rsidP="002A3414">
      <w:pPr>
        <w:pStyle w:val="Geenafstand"/>
        <w:rPr>
          <w:b/>
          <w:szCs w:val="18"/>
        </w:rPr>
      </w:pPr>
    </w:p>
    <w:p w14:paraId="2D7811E6" w14:textId="77777777" w:rsidR="00156A0E" w:rsidRPr="00C24017" w:rsidRDefault="00156A0E" w:rsidP="002A3414">
      <w:pPr>
        <w:pStyle w:val="Geenafstand"/>
        <w:rPr>
          <w:szCs w:val="18"/>
        </w:rPr>
      </w:pPr>
      <w:r w:rsidRPr="004B3912">
        <w:rPr>
          <w:b/>
          <w:szCs w:val="18"/>
        </w:rPr>
        <w:t>Conclusies</w:t>
      </w:r>
      <w:r w:rsidR="00C24017">
        <w:rPr>
          <w:b/>
          <w:szCs w:val="18"/>
        </w:rPr>
        <w:t>:</w:t>
      </w:r>
    </w:p>
    <w:p w14:paraId="7253630B" w14:textId="77777777" w:rsidR="00C24017" w:rsidRPr="00C24017" w:rsidRDefault="00C24017" w:rsidP="002A3414">
      <w:pPr>
        <w:pStyle w:val="Geenafstand"/>
        <w:rPr>
          <w:szCs w:val="18"/>
        </w:rPr>
      </w:pPr>
    </w:p>
    <w:p w14:paraId="040B8992" w14:textId="77777777" w:rsidR="001A086E" w:rsidRPr="00E54F34" w:rsidRDefault="00156A0E" w:rsidP="00793FEF">
      <w:pPr>
        <w:pStyle w:val="Geenafstand"/>
        <w:numPr>
          <w:ilvl w:val="0"/>
          <w:numId w:val="24"/>
        </w:numPr>
        <w:rPr>
          <w:szCs w:val="18"/>
        </w:rPr>
      </w:pPr>
      <w:r w:rsidRPr="00E54F34">
        <w:rPr>
          <w:szCs w:val="18"/>
        </w:rPr>
        <w:t>De in Proteus 4 gevraagde TZV input moet worden beschouwd als</w:t>
      </w:r>
      <w:r w:rsidR="001A086E" w:rsidRPr="00E54F34">
        <w:rPr>
          <w:szCs w:val="18"/>
        </w:rPr>
        <w:t xml:space="preserve"> een BZV</w:t>
      </w:r>
      <w:r w:rsidR="00A12526" w:rsidRPr="00E54F34">
        <w:rPr>
          <w:szCs w:val="18"/>
        </w:rPr>
        <w:t xml:space="preserve">5-waarde die of bekend is, of is afgeleid uit </w:t>
      </w:r>
      <w:r w:rsidR="00283D71" w:rsidRPr="00E54F34">
        <w:rPr>
          <w:szCs w:val="18"/>
        </w:rPr>
        <w:t xml:space="preserve">de </w:t>
      </w:r>
      <w:r w:rsidR="00A12526" w:rsidRPr="00E54F34">
        <w:rPr>
          <w:szCs w:val="18"/>
        </w:rPr>
        <w:t xml:space="preserve">CZV of </w:t>
      </w:r>
      <w:r w:rsidR="00283D71" w:rsidRPr="00E54F34">
        <w:rPr>
          <w:szCs w:val="18"/>
        </w:rPr>
        <w:t xml:space="preserve">de </w:t>
      </w:r>
      <w:r w:rsidR="00A12526" w:rsidRPr="00E54F34">
        <w:rPr>
          <w:szCs w:val="18"/>
        </w:rPr>
        <w:t>ThZV.</w:t>
      </w:r>
      <w:r w:rsidRPr="00E54F34">
        <w:rPr>
          <w:szCs w:val="18"/>
        </w:rPr>
        <w:t xml:space="preserve"> </w:t>
      </w:r>
      <w:r w:rsidR="00C24017" w:rsidRPr="00E54F34">
        <w:rPr>
          <w:szCs w:val="18"/>
        </w:rPr>
        <w:br/>
      </w:r>
      <w:r w:rsidR="00283D71" w:rsidRPr="00E54F34">
        <w:rPr>
          <w:szCs w:val="18"/>
        </w:rPr>
        <w:t xml:space="preserve">In formules: </w:t>
      </w:r>
      <w:r w:rsidR="00C24017" w:rsidRPr="00E54F34">
        <w:rPr>
          <w:szCs w:val="18"/>
        </w:rPr>
        <w:br/>
      </w:r>
      <w:r w:rsidR="00E80ADF" w:rsidRPr="00E54F34">
        <w:rPr>
          <w:b/>
          <w:szCs w:val="18"/>
        </w:rPr>
        <w:t>TZV=BZV</w:t>
      </w:r>
      <w:r w:rsidR="00283D71" w:rsidRPr="00E54F34">
        <w:rPr>
          <w:b/>
          <w:szCs w:val="18"/>
        </w:rPr>
        <w:t xml:space="preserve">5 </w:t>
      </w:r>
      <w:r w:rsidR="00E80ADF" w:rsidRPr="00E54F34">
        <w:rPr>
          <w:b/>
          <w:szCs w:val="18"/>
        </w:rPr>
        <w:t xml:space="preserve">of </w:t>
      </w:r>
      <w:r w:rsidR="00C24017" w:rsidRPr="00E54F34">
        <w:rPr>
          <w:b/>
          <w:szCs w:val="18"/>
        </w:rPr>
        <w:br/>
      </w:r>
      <w:r w:rsidR="00E80ADF" w:rsidRPr="00E54F34">
        <w:rPr>
          <w:b/>
          <w:szCs w:val="18"/>
        </w:rPr>
        <w:t>TZV=</w:t>
      </w:r>
      <w:proofErr w:type="spellStart"/>
      <w:r w:rsidR="00E80ADF" w:rsidRPr="00E54F34">
        <w:rPr>
          <w:b/>
          <w:szCs w:val="18"/>
        </w:rPr>
        <w:t>BZV</w:t>
      </w:r>
      <w:r w:rsidR="00E80ADF" w:rsidRPr="00E54F34">
        <w:rPr>
          <w:b/>
          <w:szCs w:val="18"/>
          <w:vertAlign w:val="subscript"/>
        </w:rPr>
        <w:t>afgeleid</w:t>
      </w:r>
      <w:proofErr w:type="spellEnd"/>
      <w:r w:rsidR="00E80ADF" w:rsidRPr="00E54F34">
        <w:rPr>
          <w:b/>
          <w:szCs w:val="18"/>
        </w:rPr>
        <w:t>.</w:t>
      </w:r>
    </w:p>
    <w:p w14:paraId="49A96128" w14:textId="77777777" w:rsidR="00C24017" w:rsidRDefault="001A086E" w:rsidP="00C24017">
      <w:pPr>
        <w:pStyle w:val="Geenafstand"/>
        <w:numPr>
          <w:ilvl w:val="0"/>
          <w:numId w:val="24"/>
        </w:numPr>
        <w:rPr>
          <w:b/>
          <w:szCs w:val="18"/>
        </w:rPr>
      </w:pPr>
      <w:r w:rsidRPr="004B3912">
        <w:rPr>
          <w:szCs w:val="18"/>
        </w:rPr>
        <w:t>Voor de afgeleide BZV</w:t>
      </w:r>
      <w:r w:rsidR="00156A0E" w:rsidRPr="004B3912">
        <w:rPr>
          <w:szCs w:val="18"/>
        </w:rPr>
        <w:t xml:space="preserve"> wordt uitgegaan van een door de fabrikant opgegeven </w:t>
      </w:r>
      <w:r w:rsidRPr="004B3912">
        <w:rPr>
          <w:szCs w:val="18"/>
        </w:rPr>
        <w:t>CZV</w:t>
      </w:r>
      <w:r w:rsidR="00156A0E" w:rsidRPr="004B3912">
        <w:rPr>
          <w:szCs w:val="18"/>
        </w:rPr>
        <w:t xml:space="preserve">-waarde of een </w:t>
      </w:r>
      <w:r w:rsidR="00665233">
        <w:rPr>
          <w:szCs w:val="18"/>
        </w:rPr>
        <w:t xml:space="preserve">waarde voor het </w:t>
      </w:r>
      <w:r w:rsidR="00156A0E" w:rsidRPr="004B3912">
        <w:rPr>
          <w:szCs w:val="18"/>
        </w:rPr>
        <w:t>theoretisch zuurstofver</w:t>
      </w:r>
      <w:r w:rsidR="002A2ACA" w:rsidRPr="004B3912">
        <w:rPr>
          <w:szCs w:val="18"/>
        </w:rPr>
        <w:t>b</w:t>
      </w:r>
      <w:r w:rsidR="00156A0E" w:rsidRPr="004B3912">
        <w:rPr>
          <w:szCs w:val="18"/>
        </w:rPr>
        <w:t xml:space="preserve">ruik </w:t>
      </w:r>
      <w:r w:rsidR="00665233">
        <w:rPr>
          <w:szCs w:val="18"/>
        </w:rPr>
        <w:t>(</w:t>
      </w:r>
      <w:r w:rsidR="00665233" w:rsidRPr="004B3912">
        <w:rPr>
          <w:szCs w:val="18"/>
        </w:rPr>
        <w:t>T</w:t>
      </w:r>
      <w:r w:rsidR="00665233">
        <w:rPr>
          <w:szCs w:val="18"/>
        </w:rPr>
        <w:t>h</w:t>
      </w:r>
      <w:r w:rsidR="00665233" w:rsidRPr="004B3912">
        <w:rPr>
          <w:szCs w:val="18"/>
        </w:rPr>
        <w:t>ZV</w:t>
      </w:r>
      <w:r w:rsidR="00665233">
        <w:rPr>
          <w:szCs w:val="18"/>
        </w:rPr>
        <w:t>)</w:t>
      </w:r>
      <w:r w:rsidR="00C2288C" w:rsidRPr="004B3912">
        <w:rPr>
          <w:szCs w:val="18"/>
        </w:rPr>
        <w:t xml:space="preserve">. </w:t>
      </w:r>
      <w:r w:rsidRPr="004B3912">
        <w:rPr>
          <w:szCs w:val="18"/>
        </w:rPr>
        <w:t>De afgeleide</w:t>
      </w:r>
      <w:r w:rsidR="00E80ADF" w:rsidRPr="004B3912">
        <w:rPr>
          <w:szCs w:val="18"/>
        </w:rPr>
        <w:t xml:space="preserve"> BZV volgt uit de formule: </w:t>
      </w:r>
      <w:r w:rsidR="00C24017">
        <w:rPr>
          <w:szCs w:val="18"/>
        </w:rPr>
        <w:br/>
      </w:r>
      <w:proofErr w:type="spellStart"/>
      <w:r w:rsidR="00E80ADF" w:rsidRPr="00C24017">
        <w:rPr>
          <w:b/>
          <w:szCs w:val="18"/>
        </w:rPr>
        <w:t>BZV</w:t>
      </w:r>
      <w:r w:rsidRPr="00C24017">
        <w:rPr>
          <w:b/>
          <w:szCs w:val="18"/>
          <w:vertAlign w:val="subscript"/>
        </w:rPr>
        <w:t>afgeleid</w:t>
      </w:r>
      <w:proofErr w:type="spellEnd"/>
      <w:r w:rsidRPr="00C24017">
        <w:rPr>
          <w:b/>
          <w:szCs w:val="18"/>
        </w:rPr>
        <w:t xml:space="preserve"> = </w:t>
      </w:r>
      <w:r w:rsidR="00A12526" w:rsidRPr="00C24017">
        <w:rPr>
          <w:b/>
          <w:szCs w:val="18"/>
        </w:rPr>
        <w:t>(</w:t>
      </w:r>
      <w:proofErr w:type="spellStart"/>
      <w:r w:rsidRPr="00C24017">
        <w:rPr>
          <w:b/>
          <w:szCs w:val="18"/>
        </w:rPr>
        <w:t>T</w:t>
      </w:r>
      <w:r w:rsidR="00A12526" w:rsidRPr="00C24017">
        <w:rPr>
          <w:b/>
          <w:szCs w:val="18"/>
        </w:rPr>
        <w:t>h</w:t>
      </w:r>
      <w:r w:rsidRPr="00C24017">
        <w:rPr>
          <w:b/>
          <w:szCs w:val="18"/>
        </w:rPr>
        <w:t>ZV</w:t>
      </w:r>
      <w:proofErr w:type="spellEnd"/>
      <w:r w:rsidR="00A12526" w:rsidRPr="00C24017">
        <w:rPr>
          <w:b/>
          <w:szCs w:val="18"/>
        </w:rPr>
        <w:t xml:space="preserve"> of CZV)</w:t>
      </w:r>
      <w:r w:rsidRPr="00C24017">
        <w:rPr>
          <w:b/>
          <w:szCs w:val="18"/>
        </w:rPr>
        <w:t xml:space="preserve">*afbreekbaarheidsfactor. </w:t>
      </w:r>
    </w:p>
    <w:p w14:paraId="02012170" w14:textId="77777777" w:rsidR="00C24017" w:rsidRDefault="004212E1" w:rsidP="00C24017">
      <w:pPr>
        <w:pStyle w:val="Geenafstand"/>
        <w:numPr>
          <w:ilvl w:val="0"/>
          <w:numId w:val="24"/>
        </w:numPr>
        <w:rPr>
          <w:b/>
          <w:szCs w:val="18"/>
        </w:rPr>
      </w:pPr>
      <w:r w:rsidRPr="00C24017">
        <w:rPr>
          <w:szCs w:val="18"/>
        </w:rPr>
        <w:t>De afbreekbaarheidsfactor bedraagt 0,75 voor stoffen die voldoen aan RBT</w:t>
      </w:r>
      <w:r w:rsidR="006F0B17" w:rsidRPr="00C24017">
        <w:rPr>
          <w:szCs w:val="18"/>
        </w:rPr>
        <w:t xml:space="preserve">. </w:t>
      </w:r>
    </w:p>
    <w:p w14:paraId="006C7A5E" w14:textId="77777777" w:rsidR="00C24017" w:rsidRPr="00C24017" w:rsidRDefault="006F0B17" w:rsidP="00C24017">
      <w:pPr>
        <w:pStyle w:val="Geenafstand"/>
        <w:numPr>
          <w:ilvl w:val="0"/>
          <w:numId w:val="24"/>
        </w:numPr>
        <w:rPr>
          <w:b/>
          <w:szCs w:val="18"/>
        </w:rPr>
      </w:pPr>
      <w:r w:rsidRPr="00C24017">
        <w:rPr>
          <w:szCs w:val="18"/>
        </w:rPr>
        <w:t>V</w:t>
      </w:r>
      <w:r w:rsidR="004212E1" w:rsidRPr="00C24017">
        <w:rPr>
          <w:szCs w:val="18"/>
        </w:rPr>
        <w:t>oor afbreekbare stoffen waarvan gegevens over de mate van afbreekbaarheid ontbreken (worst case benadering)</w:t>
      </w:r>
      <w:r w:rsidRPr="00C24017">
        <w:rPr>
          <w:szCs w:val="18"/>
        </w:rPr>
        <w:t xml:space="preserve"> wordt worst case 0,75 gehanteerd</w:t>
      </w:r>
      <w:r w:rsidR="004212E1" w:rsidRPr="00C24017">
        <w:rPr>
          <w:szCs w:val="18"/>
        </w:rPr>
        <w:t xml:space="preserve">. </w:t>
      </w:r>
    </w:p>
    <w:p w14:paraId="5C9F0FDD" w14:textId="77777777" w:rsidR="00C24017" w:rsidRDefault="004212E1" w:rsidP="00C24017">
      <w:pPr>
        <w:pStyle w:val="Geenafstand"/>
        <w:numPr>
          <w:ilvl w:val="0"/>
          <w:numId w:val="24"/>
        </w:numPr>
        <w:rPr>
          <w:b/>
          <w:szCs w:val="18"/>
        </w:rPr>
      </w:pPr>
      <w:r w:rsidRPr="00C24017">
        <w:rPr>
          <w:szCs w:val="18"/>
        </w:rPr>
        <w:t xml:space="preserve">Als gegevens voor de afbreekbaarheidsfactor ontbreken, verdient het overweging de afbreekbaarheidsfactor alsnog te bepalen aan de hand van te meten BZV en CZV van de betrokken stof. </w:t>
      </w:r>
    </w:p>
    <w:p w14:paraId="5D306619" w14:textId="77777777" w:rsidR="008C0372" w:rsidRPr="00A61661" w:rsidRDefault="008C0372" w:rsidP="00C24017">
      <w:pPr>
        <w:pStyle w:val="Geenafstand"/>
        <w:numPr>
          <w:ilvl w:val="0"/>
          <w:numId w:val="24"/>
        </w:numPr>
        <w:rPr>
          <w:b/>
          <w:szCs w:val="18"/>
        </w:rPr>
      </w:pPr>
      <w:r w:rsidRPr="00C24017">
        <w:rPr>
          <w:szCs w:val="18"/>
        </w:rPr>
        <w:t>Indeling in een lagere afbreekbaarheidscategorie dient met testgegevens te worden onderbouwd.</w:t>
      </w:r>
    </w:p>
    <w:p w14:paraId="24C9AB7E" w14:textId="77777777" w:rsidR="00A61661" w:rsidRDefault="00A61661" w:rsidP="00A61661">
      <w:pPr>
        <w:pStyle w:val="Geenafstand"/>
        <w:ind w:left="720"/>
        <w:rPr>
          <w:szCs w:val="18"/>
        </w:rPr>
      </w:pPr>
    </w:p>
    <w:p w14:paraId="67C4D584" w14:textId="77777777" w:rsidR="00A61661" w:rsidRPr="00C24017" w:rsidRDefault="00A61661" w:rsidP="00A61661">
      <w:pPr>
        <w:pStyle w:val="Geenafstand"/>
        <w:ind w:left="720"/>
        <w:rPr>
          <w:b/>
          <w:szCs w:val="18"/>
        </w:rPr>
      </w:pPr>
    </w:p>
    <w:p w14:paraId="05401381" w14:textId="77777777" w:rsidR="00DA0928" w:rsidRPr="00A61661" w:rsidRDefault="00DA0928" w:rsidP="00DA0928">
      <w:pPr>
        <w:rPr>
          <w:rFonts w:ascii="Verdana" w:hAnsi="Verdana"/>
          <w:b/>
          <w:sz w:val="18"/>
          <w:szCs w:val="18"/>
        </w:rPr>
      </w:pPr>
      <w:r w:rsidRPr="00A61661">
        <w:rPr>
          <w:rFonts w:ascii="Verdana" w:hAnsi="Verdana"/>
          <w:b/>
          <w:sz w:val="18"/>
          <w:szCs w:val="18"/>
        </w:rPr>
        <w:t>S</w:t>
      </w:r>
      <w:r w:rsidR="002A2ACA" w:rsidRPr="00A61661">
        <w:rPr>
          <w:rFonts w:ascii="Verdana" w:hAnsi="Verdana"/>
          <w:b/>
          <w:sz w:val="18"/>
          <w:szCs w:val="18"/>
        </w:rPr>
        <w:t xml:space="preserve">tappenplan </w:t>
      </w:r>
    </w:p>
    <w:p w14:paraId="0638FA95" w14:textId="77777777" w:rsidR="002A2ACA" w:rsidRPr="00A61661" w:rsidRDefault="002A2ACA" w:rsidP="00DA0928">
      <w:pPr>
        <w:rPr>
          <w:rFonts w:ascii="Verdana" w:hAnsi="Verdana"/>
          <w:sz w:val="18"/>
          <w:szCs w:val="18"/>
        </w:rPr>
      </w:pPr>
      <w:r w:rsidRPr="00A61661">
        <w:rPr>
          <w:rFonts w:ascii="Verdana" w:hAnsi="Verdana"/>
          <w:sz w:val="18"/>
          <w:szCs w:val="18"/>
        </w:rPr>
        <w:t>Bekijk of er van de desbetreffende stof een BZV</w:t>
      </w:r>
      <w:r w:rsidR="006F0B17" w:rsidRPr="00A61661">
        <w:rPr>
          <w:rFonts w:ascii="Verdana" w:hAnsi="Verdana"/>
          <w:sz w:val="18"/>
          <w:szCs w:val="18"/>
        </w:rPr>
        <w:t>5</w:t>
      </w:r>
      <w:r w:rsidRPr="00A61661">
        <w:rPr>
          <w:rFonts w:ascii="Verdana" w:hAnsi="Verdana"/>
          <w:sz w:val="18"/>
          <w:szCs w:val="18"/>
        </w:rPr>
        <w:t xml:space="preserve">-waarde </w:t>
      </w:r>
      <w:r w:rsidR="00E52FE1" w:rsidRPr="00A61661">
        <w:rPr>
          <w:rFonts w:ascii="Verdana" w:hAnsi="Verdana"/>
          <w:sz w:val="18"/>
          <w:szCs w:val="18"/>
        </w:rPr>
        <w:t xml:space="preserve">bekend </w:t>
      </w:r>
      <w:r w:rsidRPr="00A61661">
        <w:rPr>
          <w:rFonts w:ascii="Verdana" w:hAnsi="Verdana"/>
          <w:sz w:val="18"/>
          <w:szCs w:val="18"/>
        </w:rPr>
        <w:t xml:space="preserve">is </w:t>
      </w:r>
      <w:r w:rsidR="00E52FE1" w:rsidRPr="00A61661">
        <w:rPr>
          <w:rFonts w:ascii="Verdana" w:hAnsi="Verdana"/>
          <w:sz w:val="18"/>
          <w:szCs w:val="18"/>
        </w:rPr>
        <w:t>(fabrikant)</w:t>
      </w:r>
      <w:r w:rsidRPr="00A61661">
        <w:rPr>
          <w:rFonts w:ascii="Verdana" w:hAnsi="Verdana"/>
          <w:sz w:val="18"/>
          <w:szCs w:val="18"/>
        </w:rPr>
        <w:t>. Indien die aanwezig is gebruik de BZV</w:t>
      </w:r>
      <w:r w:rsidR="006F0B17" w:rsidRPr="00A61661">
        <w:rPr>
          <w:rFonts w:ascii="Verdana" w:hAnsi="Verdana"/>
          <w:sz w:val="18"/>
          <w:szCs w:val="18"/>
        </w:rPr>
        <w:t>5</w:t>
      </w:r>
      <w:r w:rsidRPr="00A61661">
        <w:rPr>
          <w:rFonts w:ascii="Verdana" w:hAnsi="Verdana"/>
          <w:sz w:val="18"/>
          <w:szCs w:val="18"/>
        </w:rPr>
        <w:t xml:space="preserve"> voor </w:t>
      </w:r>
      <w:r w:rsidR="00B11215" w:rsidRPr="00A61661">
        <w:rPr>
          <w:rFonts w:ascii="Verdana" w:hAnsi="Verdana"/>
          <w:sz w:val="18"/>
          <w:szCs w:val="18"/>
        </w:rPr>
        <w:t xml:space="preserve">het </w:t>
      </w:r>
      <w:r w:rsidRPr="00A61661">
        <w:rPr>
          <w:rFonts w:ascii="Verdana" w:hAnsi="Verdana"/>
          <w:sz w:val="18"/>
          <w:szCs w:val="18"/>
        </w:rPr>
        <w:t>TZV</w:t>
      </w:r>
      <w:r w:rsidR="00B11215" w:rsidRPr="00A61661">
        <w:rPr>
          <w:rFonts w:ascii="Verdana" w:hAnsi="Verdana"/>
          <w:sz w:val="18"/>
          <w:szCs w:val="18"/>
        </w:rPr>
        <w:t>-getal</w:t>
      </w:r>
      <w:r w:rsidRPr="00A61661">
        <w:rPr>
          <w:rFonts w:ascii="Verdana" w:hAnsi="Verdana"/>
          <w:sz w:val="18"/>
          <w:szCs w:val="18"/>
        </w:rPr>
        <w:t>.</w:t>
      </w:r>
    </w:p>
    <w:p w14:paraId="52F1DAE1" w14:textId="77777777" w:rsidR="002A2ACA" w:rsidRPr="00A61661" w:rsidRDefault="001F5586" w:rsidP="008233A3">
      <w:pPr>
        <w:pStyle w:val="Geenafstand"/>
        <w:numPr>
          <w:ilvl w:val="0"/>
          <w:numId w:val="11"/>
        </w:numPr>
        <w:rPr>
          <w:szCs w:val="18"/>
        </w:rPr>
      </w:pPr>
      <w:r w:rsidRPr="00A61661">
        <w:rPr>
          <w:szCs w:val="18"/>
        </w:rPr>
        <w:t>Indien de BZV niet bekend is</w:t>
      </w:r>
      <w:r w:rsidR="006F3AB5" w:rsidRPr="00A61661">
        <w:rPr>
          <w:szCs w:val="18"/>
        </w:rPr>
        <w:t>,</w:t>
      </w:r>
      <w:r w:rsidRPr="00A61661">
        <w:rPr>
          <w:szCs w:val="18"/>
        </w:rPr>
        <w:t xml:space="preserve"> gebruik:</w:t>
      </w:r>
    </w:p>
    <w:p w14:paraId="2366BEC9" w14:textId="77777777" w:rsidR="00055D4A" w:rsidRPr="00A61661" w:rsidRDefault="003C5143" w:rsidP="008233A3">
      <w:pPr>
        <w:pStyle w:val="Geenafstand"/>
        <w:numPr>
          <w:ilvl w:val="1"/>
          <w:numId w:val="11"/>
        </w:numPr>
        <w:rPr>
          <w:szCs w:val="18"/>
        </w:rPr>
      </w:pPr>
      <w:r w:rsidRPr="00A61661">
        <w:rPr>
          <w:szCs w:val="18"/>
        </w:rPr>
        <w:t>d</w:t>
      </w:r>
      <w:r w:rsidR="00A12526" w:rsidRPr="00A61661">
        <w:rPr>
          <w:szCs w:val="18"/>
        </w:rPr>
        <w:t xml:space="preserve">e </w:t>
      </w:r>
      <w:r w:rsidR="001F5586" w:rsidRPr="00A61661">
        <w:rPr>
          <w:szCs w:val="18"/>
        </w:rPr>
        <w:t xml:space="preserve">CZV </w:t>
      </w:r>
      <w:r w:rsidR="000E4BC2" w:rsidRPr="00A61661">
        <w:rPr>
          <w:szCs w:val="18"/>
        </w:rPr>
        <w:t xml:space="preserve">indien die </w:t>
      </w:r>
      <w:r w:rsidR="001F5586" w:rsidRPr="00A61661">
        <w:rPr>
          <w:szCs w:val="18"/>
        </w:rPr>
        <w:t xml:space="preserve">bekend </w:t>
      </w:r>
      <w:r w:rsidR="00A12526" w:rsidRPr="00A61661">
        <w:rPr>
          <w:szCs w:val="18"/>
        </w:rPr>
        <w:t xml:space="preserve">is </w:t>
      </w:r>
      <w:r w:rsidR="000E4BC2" w:rsidRPr="00A61661">
        <w:rPr>
          <w:szCs w:val="18"/>
        </w:rPr>
        <w:t>(fabrikant)</w:t>
      </w:r>
      <w:r w:rsidR="001F5586" w:rsidRPr="00A61661">
        <w:rPr>
          <w:szCs w:val="18"/>
        </w:rPr>
        <w:t xml:space="preserve">. </w:t>
      </w:r>
      <w:r w:rsidR="006F3AB5" w:rsidRPr="00A61661">
        <w:rPr>
          <w:szCs w:val="18"/>
        </w:rPr>
        <w:t>Hieruit kan</w:t>
      </w:r>
      <w:r w:rsidR="001F5586" w:rsidRPr="00A61661">
        <w:rPr>
          <w:szCs w:val="18"/>
        </w:rPr>
        <w:t xml:space="preserve"> de afgeleide BZV bepaald woorden met behulp van de afbreekbaarheidsfactoren in Tabel </w:t>
      </w:r>
      <w:r w:rsidR="008C0372" w:rsidRPr="00A61661">
        <w:rPr>
          <w:szCs w:val="18"/>
        </w:rPr>
        <w:t>1</w:t>
      </w:r>
      <w:r w:rsidR="001F5586" w:rsidRPr="00A61661">
        <w:rPr>
          <w:szCs w:val="18"/>
        </w:rPr>
        <w:t>.</w:t>
      </w:r>
      <w:r w:rsidR="00055D4A" w:rsidRPr="00A61661">
        <w:rPr>
          <w:szCs w:val="18"/>
        </w:rPr>
        <w:t xml:space="preserve"> </w:t>
      </w:r>
    </w:p>
    <w:p w14:paraId="37B1DEB7" w14:textId="77777777" w:rsidR="00B11215" w:rsidRPr="00A61661" w:rsidRDefault="00A12526" w:rsidP="008233A3">
      <w:pPr>
        <w:pStyle w:val="Lijstalinea"/>
        <w:numPr>
          <w:ilvl w:val="1"/>
          <w:numId w:val="11"/>
        </w:numPr>
        <w:spacing w:after="0" w:line="240" w:lineRule="auto"/>
        <w:ind w:left="1434" w:hanging="357"/>
        <w:rPr>
          <w:rFonts w:ascii="Verdana" w:hAnsi="Verdana"/>
          <w:sz w:val="18"/>
          <w:szCs w:val="18"/>
        </w:rPr>
      </w:pPr>
      <w:r w:rsidRPr="00A61661">
        <w:rPr>
          <w:rFonts w:ascii="Verdana" w:hAnsi="Verdana"/>
          <w:sz w:val="18"/>
          <w:szCs w:val="18"/>
        </w:rPr>
        <w:t xml:space="preserve">Indien de CZV </w:t>
      </w:r>
      <w:r w:rsidR="003C5143" w:rsidRPr="00A61661">
        <w:rPr>
          <w:rFonts w:ascii="Verdana" w:hAnsi="Verdana"/>
          <w:sz w:val="18"/>
          <w:szCs w:val="18"/>
        </w:rPr>
        <w:t xml:space="preserve">ook niet bekend </w:t>
      </w:r>
      <w:r w:rsidRPr="00A61661">
        <w:rPr>
          <w:rFonts w:ascii="Verdana" w:hAnsi="Verdana"/>
          <w:sz w:val="18"/>
          <w:szCs w:val="18"/>
        </w:rPr>
        <w:t>is</w:t>
      </w:r>
      <w:r w:rsidR="006F3AB5" w:rsidRPr="00A61661">
        <w:rPr>
          <w:rFonts w:ascii="Verdana" w:hAnsi="Verdana"/>
          <w:sz w:val="18"/>
          <w:szCs w:val="18"/>
        </w:rPr>
        <w:t>,</w:t>
      </w:r>
      <w:r w:rsidR="003C5143" w:rsidRPr="00A61661">
        <w:rPr>
          <w:rFonts w:ascii="Verdana" w:hAnsi="Verdana"/>
          <w:sz w:val="18"/>
          <w:szCs w:val="18"/>
        </w:rPr>
        <w:t xml:space="preserve"> </w:t>
      </w:r>
      <w:r w:rsidRPr="00A61661">
        <w:rPr>
          <w:rFonts w:ascii="Verdana" w:hAnsi="Verdana"/>
          <w:sz w:val="18"/>
          <w:szCs w:val="18"/>
        </w:rPr>
        <w:t xml:space="preserve">bepaal dan </w:t>
      </w:r>
      <w:r w:rsidR="003C5143" w:rsidRPr="00A61661">
        <w:rPr>
          <w:rFonts w:ascii="Verdana" w:hAnsi="Verdana"/>
          <w:sz w:val="18"/>
          <w:szCs w:val="18"/>
        </w:rPr>
        <w:t>h</w:t>
      </w:r>
      <w:r w:rsidR="001F5586" w:rsidRPr="00A61661">
        <w:rPr>
          <w:rFonts w:ascii="Verdana" w:hAnsi="Verdana"/>
          <w:sz w:val="18"/>
          <w:szCs w:val="18"/>
        </w:rPr>
        <w:t xml:space="preserve">et theoretisch zuurstofverbruik van de desbetreffende stof (oxidatie met zuurstof). </w:t>
      </w:r>
      <w:r w:rsidR="006F3AB5" w:rsidRPr="00A61661">
        <w:rPr>
          <w:rFonts w:ascii="Verdana" w:hAnsi="Verdana"/>
          <w:sz w:val="18"/>
          <w:szCs w:val="18"/>
        </w:rPr>
        <w:t>Hieruit kan</w:t>
      </w:r>
      <w:r w:rsidRPr="00A61661">
        <w:rPr>
          <w:rFonts w:ascii="Verdana" w:hAnsi="Verdana"/>
          <w:sz w:val="18"/>
          <w:szCs w:val="18"/>
        </w:rPr>
        <w:t xml:space="preserve"> de afgeleide BZV bepaald wo</w:t>
      </w:r>
      <w:r w:rsidR="001F5586" w:rsidRPr="00A61661">
        <w:rPr>
          <w:rFonts w:ascii="Verdana" w:hAnsi="Verdana"/>
          <w:sz w:val="18"/>
          <w:szCs w:val="18"/>
        </w:rPr>
        <w:t xml:space="preserve">rden met behulp van de afbreekbaarheidsfactoren in Tabel </w:t>
      </w:r>
      <w:r w:rsidR="008C0372" w:rsidRPr="00A61661">
        <w:rPr>
          <w:rFonts w:ascii="Verdana" w:hAnsi="Verdana"/>
          <w:sz w:val="18"/>
          <w:szCs w:val="18"/>
        </w:rPr>
        <w:t>1</w:t>
      </w:r>
      <w:r w:rsidR="001F5586" w:rsidRPr="00A61661">
        <w:rPr>
          <w:rFonts w:ascii="Verdana" w:hAnsi="Verdana"/>
          <w:sz w:val="18"/>
          <w:szCs w:val="18"/>
        </w:rPr>
        <w:t>.</w:t>
      </w:r>
      <w:r w:rsidR="00802532" w:rsidRPr="00A61661">
        <w:rPr>
          <w:rFonts w:ascii="Verdana" w:hAnsi="Verdana"/>
          <w:sz w:val="18"/>
          <w:szCs w:val="18"/>
        </w:rPr>
        <w:t xml:space="preserve"> </w:t>
      </w:r>
    </w:p>
    <w:p w14:paraId="3DB9E713" w14:textId="77777777" w:rsidR="00B11215" w:rsidRPr="00A61661" w:rsidRDefault="00B11215" w:rsidP="001330FF">
      <w:pPr>
        <w:pStyle w:val="Lijstalinea"/>
        <w:spacing w:after="0" w:line="240" w:lineRule="auto"/>
        <w:ind w:left="1434"/>
        <w:rPr>
          <w:rFonts w:ascii="Verdana" w:hAnsi="Verdana"/>
          <w:sz w:val="18"/>
          <w:szCs w:val="18"/>
        </w:rPr>
      </w:pPr>
    </w:p>
    <w:p w14:paraId="1FE2A084" w14:textId="77777777" w:rsidR="00B11215" w:rsidRPr="00A61661" w:rsidRDefault="00B11215" w:rsidP="00B11215">
      <w:pPr>
        <w:pStyle w:val="Lijstalinea"/>
        <w:spacing w:after="0" w:line="240" w:lineRule="auto"/>
        <w:ind w:left="708"/>
        <w:rPr>
          <w:rFonts w:ascii="Verdana" w:hAnsi="Verdana"/>
          <w:i/>
          <w:sz w:val="18"/>
          <w:szCs w:val="18"/>
        </w:rPr>
      </w:pPr>
      <w:r w:rsidRPr="00A61661">
        <w:rPr>
          <w:rFonts w:ascii="Verdana" w:hAnsi="Verdana"/>
          <w:i/>
          <w:sz w:val="18"/>
          <w:szCs w:val="18"/>
        </w:rPr>
        <w:t>Opmerkingen:</w:t>
      </w:r>
    </w:p>
    <w:p w14:paraId="5434AEE9" w14:textId="77777777" w:rsidR="00B11215" w:rsidRPr="00A61661" w:rsidRDefault="00802532" w:rsidP="00C04388">
      <w:pPr>
        <w:pStyle w:val="Lijstalinea"/>
        <w:numPr>
          <w:ilvl w:val="0"/>
          <w:numId w:val="19"/>
        </w:numPr>
        <w:spacing w:after="0" w:line="240" w:lineRule="auto"/>
        <w:rPr>
          <w:rFonts w:ascii="Verdana" w:hAnsi="Verdana"/>
          <w:sz w:val="18"/>
          <w:szCs w:val="18"/>
        </w:rPr>
      </w:pPr>
      <w:r w:rsidRPr="00A61661">
        <w:rPr>
          <w:rFonts w:ascii="Verdana" w:hAnsi="Verdana"/>
          <w:sz w:val="18"/>
          <w:szCs w:val="18"/>
        </w:rPr>
        <w:t xml:space="preserve">Wanneer geen/onvoldoende cijfers over de afbreekbaarheid van een stof aanwezig zijn, gebruik dan </w:t>
      </w:r>
      <w:r w:rsidR="00B11215" w:rsidRPr="00A61661">
        <w:rPr>
          <w:rFonts w:ascii="Verdana" w:hAnsi="Verdana"/>
          <w:sz w:val="18"/>
          <w:szCs w:val="18"/>
        </w:rPr>
        <w:t>afbreekbaarheidsfactor 0,75 (</w:t>
      </w:r>
      <w:r w:rsidRPr="00A61661">
        <w:rPr>
          <w:rFonts w:ascii="Verdana" w:hAnsi="Verdana"/>
          <w:sz w:val="18"/>
          <w:szCs w:val="18"/>
        </w:rPr>
        <w:t>categorie 1</w:t>
      </w:r>
      <w:r w:rsidR="00B11215" w:rsidRPr="00A61661">
        <w:rPr>
          <w:rFonts w:ascii="Verdana" w:hAnsi="Verdana"/>
          <w:sz w:val="18"/>
          <w:szCs w:val="18"/>
        </w:rPr>
        <w:t>: snel afbreekbare stof)</w:t>
      </w:r>
      <w:r w:rsidRPr="00A61661">
        <w:rPr>
          <w:rFonts w:ascii="Verdana" w:hAnsi="Verdana"/>
          <w:sz w:val="18"/>
          <w:szCs w:val="18"/>
        </w:rPr>
        <w:t>, zodat een mogelijk zuurstofdepletie effect niet wordt onderschat.</w:t>
      </w:r>
    </w:p>
    <w:p w14:paraId="0426FB03" w14:textId="77777777" w:rsidR="00BF2CAF" w:rsidRPr="00A61661" w:rsidRDefault="00802532" w:rsidP="002A3414">
      <w:pPr>
        <w:pStyle w:val="Lijstalinea"/>
        <w:numPr>
          <w:ilvl w:val="0"/>
          <w:numId w:val="19"/>
        </w:numPr>
        <w:spacing w:after="0" w:line="240" w:lineRule="auto"/>
        <w:rPr>
          <w:rFonts w:ascii="Verdana" w:hAnsi="Verdana"/>
          <w:sz w:val="18"/>
          <w:szCs w:val="18"/>
        </w:rPr>
      </w:pPr>
      <w:r w:rsidRPr="00A61661">
        <w:rPr>
          <w:rFonts w:ascii="Verdana" w:hAnsi="Verdana"/>
          <w:sz w:val="18"/>
          <w:szCs w:val="18"/>
        </w:rPr>
        <w:t>Bij het optreden van verhoogde risico’s zou het BZV-getal van een stof alsnog analytisch moeten worden bepaald en opnieuw worden ingevoerd. Berekeningen en analyses dienen als bijlage bij de MRA te worden gevoegd.</w:t>
      </w:r>
    </w:p>
    <w:p w14:paraId="667857D0" w14:textId="77777777" w:rsidR="00534441" w:rsidRPr="00A61661" w:rsidRDefault="00534441" w:rsidP="00D737EC">
      <w:pPr>
        <w:spacing w:after="0" w:line="240" w:lineRule="auto"/>
        <w:rPr>
          <w:rFonts w:ascii="Verdana" w:hAnsi="Verdana"/>
          <w:sz w:val="18"/>
          <w:szCs w:val="18"/>
        </w:rPr>
      </w:pPr>
    </w:p>
    <w:p w14:paraId="31CDA978" w14:textId="77777777" w:rsidR="00130ECC" w:rsidRPr="00A61661" w:rsidRDefault="00130ECC" w:rsidP="009052FB">
      <w:pPr>
        <w:pStyle w:val="Geenafstand"/>
        <w:rPr>
          <w:b/>
          <w:szCs w:val="18"/>
        </w:rPr>
      </w:pPr>
    </w:p>
    <w:p w14:paraId="39EB3171" w14:textId="77777777" w:rsidR="008C0372" w:rsidRPr="00A61661" w:rsidRDefault="008C0372">
      <w:pPr>
        <w:rPr>
          <w:rFonts w:ascii="Verdana" w:hAnsi="Verdana"/>
          <w:b/>
          <w:sz w:val="18"/>
          <w:szCs w:val="18"/>
        </w:rPr>
      </w:pPr>
      <w:r w:rsidRPr="00A61661">
        <w:rPr>
          <w:rFonts w:ascii="Verdana" w:hAnsi="Verdana"/>
          <w:b/>
          <w:sz w:val="18"/>
          <w:szCs w:val="18"/>
        </w:rPr>
        <w:br w:type="page"/>
      </w:r>
    </w:p>
    <w:p w14:paraId="0ED49585" w14:textId="77777777" w:rsidR="009052FB" w:rsidRPr="004B3912" w:rsidRDefault="008C0372" w:rsidP="00D737EC">
      <w:pPr>
        <w:pStyle w:val="Kop1"/>
      </w:pPr>
      <w:r>
        <w:lastRenderedPageBreak/>
        <w:t xml:space="preserve">Bijlage 1: </w:t>
      </w:r>
      <w:r w:rsidR="009052FB">
        <w:t xml:space="preserve">Toelichting </w:t>
      </w:r>
      <w:r w:rsidR="002028F3">
        <w:t xml:space="preserve">Begrippen CZV, ThZV, </w:t>
      </w:r>
      <w:r w:rsidR="009052FB" w:rsidRPr="004B3912">
        <w:t>BZV</w:t>
      </w:r>
      <w:r w:rsidR="002028F3">
        <w:t xml:space="preserve">, </w:t>
      </w:r>
      <w:r w:rsidR="009052FB">
        <w:t>TZV</w:t>
      </w:r>
    </w:p>
    <w:p w14:paraId="0C78BE26" w14:textId="77777777" w:rsidR="008C0372" w:rsidRDefault="008C0372" w:rsidP="009052FB">
      <w:pPr>
        <w:pStyle w:val="Geenafstand"/>
      </w:pPr>
    </w:p>
    <w:p w14:paraId="0F237F70" w14:textId="77777777" w:rsidR="009052FB" w:rsidRPr="004B3912" w:rsidRDefault="009052FB" w:rsidP="009052FB">
      <w:pPr>
        <w:pStyle w:val="Geenafstand"/>
      </w:pPr>
      <w:r w:rsidRPr="004B3912">
        <w:t>CZV</w:t>
      </w:r>
      <w:r w:rsidR="00835E0A">
        <w:t xml:space="preserve">, </w:t>
      </w:r>
      <w:r w:rsidR="00835E0A" w:rsidRPr="004B3912">
        <w:t>BZV</w:t>
      </w:r>
      <w:r w:rsidR="00835E0A">
        <w:t>,</w:t>
      </w:r>
      <w:r w:rsidR="00835E0A" w:rsidRPr="004B3912">
        <w:t xml:space="preserve"> </w:t>
      </w:r>
      <w:r w:rsidRPr="004B3912">
        <w:t>ThZV</w:t>
      </w:r>
      <w:r w:rsidR="00835E0A">
        <w:t xml:space="preserve"> en TZV </w:t>
      </w:r>
      <w:r w:rsidRPr="004B3912">
        <w:t>onderscheiden zich als volgt:</w:t>
      </w:r>
    </w:p>
    <w:p w14:paraId="5FDCB80A" w14:textId="77777777" w:rsidR="004040EC" w:rsidRDefault="004040EC" w:rsidP="00C556B4">
      <w:pPr>
        <w:pStyle w:val="Geenafstand"/>
      </w:pPr>
    </w:p>
    <w:p w14:paraId="318D34FF" w14:textId="77777777" w:rsidR="009052FB" w:rsidRPr="004B3912" w:rsidRDefault="009052FB" w:rsidP="00C556B4">
      <w:pPr>
        <w:pStyle w:val="Geenafstand"/>
      </w:pPr>
      <w:r w:rsidRPr="004B3912">
        <w:rPr>
          <w:b/>
        </w:rPr>
        <w:t>CZV</w:t>
      </w:r>
      <w:r w:rsidRPr="004B3912">
        <w:t xml:space="preserve"> </w:t>
      </w:r>
      <w:r w:rsidR="004040EC">
        <w:br/>
        <w:t>W</w:t>
      </w:r>
      <w:r w:rsidRPr="004B3912">
        <w:t>ordt bepaald met een nat-chemische analyse, waarbij de afbreekbare stof chemisch wordt geoxideerd. Stikstofoxidatie is daarbij uitgesloten, net als in de BZV-bepaling.</w:t>
      </w:r>
    </w:p>
    <w:p w14:paraId="1136DA8E" w14:textId="77777777" w:rsidR="004040EC" w:rsidRDefault="004040EC" w:rsidP="00C556B4">
      <w:pPr>
        <w:pStyle w:val="Geenafstand"/>
        <w:ind w:left="720"/>
      </w:pPr>
    </w:p>
    <w:p w14:paraId="006B2ABE" w14:textId="77777777" w:rsidR="00835E0A" w:rsidRDefault="00835E0A" w:rsidP="00835E0A">
      <w:pPr>
        <w:pStyle w:val="Geenafstand"/>
        <w:rPr>
          <w:b/>
        </w:rPr>
      </w:pPr>
      <w:r w:rsidRPr="004B3912">
        <w:rPr>
          <w:b/>
        </w:rPr>
        <w:t>BZV</w:t>
      </w:r>
    </w:p>
    <w:p w14:paraId="2A53747F" w14:textId="77777777" w:rsidR="00835E0A" w:rsidRDefault="00835E0A" w:rsidP="00835E0A">
      <w:pPr>
        <w:pStyle w:val="Geenafstand"/>
      </w:pPr>
      <w:r>
        <w:t>G</w:t>
      </w:r>
      <w:r w:rsidRPr="004B3912">
        <w:t xml:space="preserve">eeft aan hoeveel zuurstof micro-organismen nodig hebben om al het organische materiaal dat in het water aanwezig is af te breken. Het is een maat voor het zuurstofverbruik als gevolg van biologisch </w:t>
      </w:r>
      <w:r w:rsidRPr="004B3912">
        <w:rPr>
          <w:u w:val="single"/>
        </w:rPr>
        <w:t>afbreekbare componenten</w:t>
      </w:r>
      <w:r w:rsidRPr="004B3912">
        <w:t xml:space="preserve"> die in water aanwezig zijn. </w:t>
      </w:r>
    </w:p>
    <w:p w14:paraId="5EA8EBD3" w14:textId="77777777" w:rsidR="00835E0A" w:rsidRDefault="00835E0A" w:rsidP="00835E0A">
      <w:pPr>
        <w:pStyle w:val="Geenafstand"/>
      </w:pPr>
    </w:p>
    <w:p w14:paraId="116BF222" w14:textId="77777777" w:rsidR="00835E0A" w:rsidRDefault="00835E0A" w:rsidP="00835E0A">
      <w:pPr>
        <w:pStyle w:val="Geenafstand"/>
      </w:pPr>
      <w:r w:rsidRPr="004B3912">
        <w:t xml:space="preserve">Het is gebruikelijk om het BZV-getal na 5 dagen en bij 20 graden te bepalen om vooral de fractie goed afbreekbaar organische stoffen te bepalen. </w:t>
      </w:r>
    </w:p>
    <w:p w14:paraId="7534B081" w14:textId="77777777" w:rsidR="00835E0A" w:rsidRDefault="00835E0A" w:rsidP="00835E0A">
      <w:pPr>
        <w:pStyle w:val="Geenafstand"/>
        <w:numPr>
          <w:ilvl w:val="0"/>
          <w:numId w:val="3"/>
        </w:numPr>
      </w:pPr>
      <w:r>
        <w:t xml:space="preserve">Voor de berekeningen in Proteus is </w:t>
      </w:r>
      <w:r>
        <w:rPr>
          <w:b/>
        </w:rPr>
        <w:t xml:space="preserve">BZV5 </w:t>
      </w:r>
      <w:r>
        <w:t xml:space="preserve">het uitgangspunt voor de berekening van acute effecten van onvoorziene lozingen. </w:t>
      </w:r>
    </w:p>
    <w:p w14:paraId="016440E0" w14:textId="77777777" w:rsidR="00835E0A" w:rsidRDefault="00835E0A" w:rsidP="00835E0A">
      <w:pPr>
        <w:pStyle w:val="Geenafstand"/>
        <w:numPr>
          <w:ilvl w:val="0"/>
          <w:numId w:val="3"/>
        </w:numPr>
      </w:pPr>
      <w:r w:rsidRPr="004B3912">
        <w:t xml:space="preserve">Het is ook mogelijk om een BZV-getal na 28 dagen </w:t>
      </w:r>
      <w:r>
        <w:t>(</w:t>
      </w:r>
      <w:r w:rsidRPr="00C556B4">
        <w:rPr>
          <w:b/>
        </w:rPr>
        <w:t>BZV28</w:t>
      </w:r>
      <w:r>
        <w:t xml:space="preserve">, </w:t>
      </w:r>
      <w:r w:rsidRPr="004B3912">
        <w:t>eveneens bij 20 graden) te bepalen. Hierbij wordt (vrijwel) de totale fractie afbreekbaar organisch materiaal in een monster bepaald.</w:t>
      </w:r>
      <w:r>
        <w:t xml:space="preserve"> Voor de risicoberekeningen is zo’n BZV28-getal worst case, omdat de “acute” afbraak maatgevend is in de berekeningen. Het ligt voor de hand hieruit de BZV5-waarde van af te leiden. </w:t>
      </w:r>
    </w:p>
    <w:p w14:paraId="7E197629" w14:textId="77777777" w:rsidR="00835E0A" w:rsidRDefault="00835E0A" w:rsidP="00835E0A">
      <w:pPr>
        <w:pStyle w:val="Geenafstand"/>
      </w:pPr>
    </w:p>
    <w:p w14:paraId="31D70A38" w14:textId="77777777" w:rsidR="00835E0A" w:rsidRDefault="00835E0A" w:rsidP="00835E0A">
      <w:pPr>
        <w:pStyle w:val="Geenafstand"/>
      </w:pPr>
      <w:r>
        <w:t>De</w:t>
      </w:r>
      <w:r w:rsidRPr="004B3912">
        <w:t xml:space="preserve"> BZV-</w:t>
      </w:r>
      <w:r>
        <w:t>waarde</w:t>
      </w:r>
      <w:r w:rsidRPr="004B3912">
        <w:t xml:space="preserve"> van een stof is altijd lager dan </w:t>
      </w:r>
      <w:r>
        <w:t>de</w:t>
      </w:r>
      <w:r w:rsidRPr="004B3912">
        <w:t xml:space="preserve"> CZV- of ThZV-</w:t>
      </w:r>
      <w:r>
        <w:t>waarde</w:t>
      </w:r>
      <w:r w:rsidRPr="004B3912">
        <w:t xml:space="preserve"> van de stof, zeker wanneer de gebruikelijke BZV5-waarde wordt gebruikt. Het werkelijke zuurstofverbruik is lager door de biologische processen die optreden (o.a. groei van micro-organismen) en doordat de biologische afbreekbaarheid van verschillende stoffen hoog of laag kan zijn (stofeigenschappen). Een BZV-</w:t>
      </w:r>
      <w:r>
        <w:t>waarde</w:t>
      </w:r>
      <w:r w:rsidRPr="004B3912">
        <w:t xml:space="preserve"> </w:t>
      </w:r>
      <w:r>
        <w:t>die</w:t>
      </w:r>
      <w:r w:rsidRPr="004B3912">
        <w:t xml:space="preserve"> is bepaald over 28 dagen, benadert bij snel biologisch afbreekbare stoffen de CZV- en T</w:t>
      </w:r>
      <w:r>
        <w:t>hZV</w:t>
      </w:r>
      <w:r w:rsidRPr="004B3912">
        <w:t>-waarde.</w:t>
      </w:r>
    </w:p>
    <w:p w14:paraId="21AFC702" w14:textId="77777777" w:rsidR="00835E0A" w:rsidRPr="004B3912" w:rsidRDefault="00835E0A" w:rsidP="00835E0A">
      <w:pPr>
        <w:pStyle w:val="Geenafstand"/>
      </w:pPr>
    </w:p>
    <w:p w14:paraId="6F726832" w14:textId="77777777" w:rsidR="004040EC" w:rsidRDefault="009052FB" w:rsidP="00C556B4">
      <w:pPr>
        <w:pStyle w:val="Geenafstand"/>
      </w:pPr>
      <w:r w:rsidRPr="004B3912">
        <w:rPr>
          <w:b/>
        </w:rPr>
        <w:t>ThZV</w:t>
      </w:r>
      <w:r w:rsidR="004040EC">
        <w:rPr>
          <w:b/>
        </w:rPr>
        <w:t xml:space="preserve"> </w:t>
      </w:r>
      <w:r w:rsidRPr="004B3912">
        <w:t xml:space="preserve"> </w:t>
      </w:r>
    </w:p>
    <w:p w14:paraId="13144984" w14:textId="79CC8AD1" w:rsidR="009052FB" w:rsidRDefault="00AA7242" w:rsidP="00C556B4">
      <w:pPr>
        <w:pStyle w:val="Geenafstand"/>
      </w:pPr>
      <w:r>
        <w:t>Deze waarde w</w:t>
      </w:r>
      <w:r w:rsidR="009052FB" w:rsidRPr="004B3912">
        <w:t xml:space="preserve">ordt bepaald door de berekening van het theoretisch zuurstofverbruik (ook wel </w:t>
      </w:r>
      <w:proofErr w:type="spellStart"/>
      <w:r w:rsidR="009052FB" w:rsidRPr="004B3912">
        <w:t>ThOD</w:t>
      </w:r>
      <w:proofErr w:type="spellEnd"/>
      <w:r w:rsidR="009052FB" w:rsidRPr="004B3912">
        <w:t xml:space="preserve">= </w:t>
      </w:r>
      <w:proofErr w:type="spellStart"/>
      <w:r w:rsidR="009052FB" w:rsidRPr="004B3912">
        <w:t>Theoretical</w:t>
      </w:r>
      <w:proofErr w:type="spellEnd"/>
      <w:r w:rsidR="009052FB" w:rsidRPr="004B3912">
        <w:t xml:space="preserve"> </w:t>
      </w:r>
      <w:proofErr w:type="spellStart"/>
      <w:r w:rsidR="009052FB" w:rsidRPr="004B3912">
        <w:t>Oxygen</w:t>
      </w:r>
      <w:proofErr w:type="spellEnd"/>
      <w:r w:rsidR="009052FB" w:rsidRPr="004B3912">
        <w:t xml:space="preserve"> </w:t>
      </w:r>
      <w:proofErr w:type="spellStart"/>
      <w:r w:rsidR="009052FB" w:rsidRPr="004B3912">
        <w:t>Demand</w:t>
      </w:r>
      <w:proofErr w:type="spellEnd"/>
      <w:r w:rsidR="009052FB" w:rsidRPr="004B3912">
        <w:t>) bij de volledige oxidatie van een stof. Er wordt daarbij onderscheid gemaakt in oxidatie van de stof met of zonder omzetting van stikstof tot nitraat (stikstofoxidatie). Dit is van belang, omdat bij een onvoorziene lozing op oppervlaktewater er (vrijwel) geen omzetting tot nitraat plaatsvindt (te weinig nitrificerende bacteriën</w:t>
      </w:r>
      <w:r>
        <w:t xml:space="preserve"> in oppervlaktewater</w:t>
      </w:r>
      <w:r w:rsidR="009052FB" w:rsidRPr="004B3912">
        <w:t xml:space="preserve"> aanwezig), terwijl er bij een onvoorziene lozing op een RWZI wel omzetting naar nitraat zal plaatsvinden. In het laatste geval is de zuurstofbehoefte van de oxidatiereactie een stuk groter. In Proteus 4.5. wordt met stikstofoxidatie (nog) geen rekening gehouden.</w:t>
      </w:r>
      <w:r w:rsidR="009052FB">
        <w:t xml:space="preserve"> Dit zal in een latere versie nog worden gecorrigeerd, waarbij deze notitie ook zal worden aangepast.</w:t>
      </w:r>
    </w:p>
    <w:p w14:paraId="0C551078" w14:textId="77777777" w:rsidR="004040EC" w:rsidRPr="004B3912" w:rsidRDefault="004040EC" w:rsidP="00C556B4">
      <w:pPr>
        <w:pStyle w:val="Geenafstand"/>
      </w:pPr>
    </w:p>
    <w:p w14:paraId="366571F5" w14:textId="77777777" w:rsidR="004040EC" w:rsidRDefault="004040EC" w:rsidP="00C556B4">
      <w:pPr>
        <w:pStyle w:val="Geenafstand"/>
      </w:pPr>
    </w:p>
    <w:p w14:paraId="6CD19DD7" w14:textId="77777777" w:rsidR="004040EC" w:rsidRDefault="009052FB" w:rsidP="00C556B4">
      <w:pPr>
        <w:pStyle w:val="Geenafstand"/>
      </w:pPr>
      <w:bookmarkStart w:id="0" w:name="_GoBack"/>
      <w:bookmarkEnd w:id="0"/>
      <w:r w:rsidRPr="008233A3">
        <w:rPr>
          <w:b/>
        </w:rPr>
        <w:lastRenderedPageBreak/>
        <w:t>TZV</w:t>
      </w:r>
    </w:p>
    <w:p w14:paraId="40A13924" w14:textId="36F66AEA" w:rsidR="009052FB" w:rsidRPr="004B3912" w:rsidRDefault="00AA7242" w:rsidP="00C556B4">
      <w:pPr>
        <w:pStyle w:val="Geenafstand"/>
      </w:pPr>
      <w:r>
        <w:t>Deze waarde w</w:t>
      </w:r>
      <w:r w:rsidR="004040EC">
        <w:t xml:space="preserve">ordt </w:t>
      </w:r>
      <w:r w:rsidR="009052FB">
        <w:t xml:space="preserve">ingevoerd in Proteus </w:t>
      </w:r>
      <w:r w:rsidR="004040EC">
        <w:t xml:space="preserve">en </w:t>
      </w:r>
      <w:r w:rsidR="009052FB">
        <w:t xml:space="preserve">is of </w:t>
      </w:r>
      <w:r w:rsidR="004040EC">
        <w:t xml:space="preserve">de </w:t>
      </w:r>
      <w:r w:rsidR="009052FB">
        <w:t>BZV</w:t>
      </w:r>
      <w:r>
        <w:t>5</w:t>
      </w:r>
      <w:r w:rsidR="009052FB">
        <w:t>-</w:t>
      </w:r>
      <w:r w:rsidR="004040EC">
        <w:t>waarde</w:t>
      </w:r>
      <w:r w:rsidR="009052FB">
        <w:t xml:space="preserve"> </w:t>
      </w:r>
      <w:r w:rsidR="004040EC">
        <w:t>die</w:t>
      </w:r>
      <w:r w:rsidR="009052FB">
        <w:t xml:space="preserve"> bekend is van een stof of een berekende BZV-waarde uit </w:t>
      </w:r>
      <w:r w:rsidR="004040EC">
        <w:t xml:space="preserve">de </w:t>
      </w:r>
      <w:r w:rsidR="009052FB">
        <w:t>CZV- of ThZV-</w:t>
      </w:r>
      <w:r w:rsidR="004040EC">
        <w:t xml:space="preserve">waarde </w:t>
      </w:r>
      <w:r w:rsidR="009052FB">
        <w:t>gecorrigeerd voor biologische afbraak.</w:t>
      </w:r>
      <w:r w:rsidR="00A63072">
        <w:t xml:space="preserve"> </w:t>
      </w:r>
    </w:p>
    <w:p w14:paraId="0419F39F" w14:textId="77777777" w:rsidR="009052FB" w:rsidRPr="004B3912" w:rsidRDefault="009052FB" w:rsidP="009052FB">
      <w:pPr>
        <w:pStyle w:val="Geenafstand"/>
      </w:pPr>
    </w:p>
    <w:p w14:paraId="72A3D08F" w14:textId="77777777" w:rsidR="00534441" w:rsidRDefault="00534441">
      <w:r>
        <w:br w:type="page"/>
      </w:r>
    </w:p>
    <w:p w14:paraId="1184E7D3" w14:textId="77777777" w:rsidR="00534441" w:rsidRPr="00534441" w:rsidRDefault="008C0372" w:rsidP="00D737EC">
      <w:pPr>
        <w:pStyle w:val="Kop1"/>
      </w:pPr>
      <w:r>
        <w:lastRenderedPageBreak/>
        <w:t xml:space="preserve">Bijlage 2: </w:t>
      </w:r>
      <w:r w:rsidR="004B7C73">
        <w:t>Afbreekbaarheidsfactor</w:t>
      </w:r>
    </w:p>
    <w:p w14:paraId="32BE5674" w14:textId="77777777" w:rsidR="00056379" w:rsidRDefault="00056379" w:rsidP="00534441">
      <w:pPr>
        <w:spacing w:after="0" w:line="240" w:lineRule="auto"/>
      </w:pPr>
    </w:p>
    <w:p w14:paraId="4B0780F3" w14:textId="77777777" w:rsidR="00534441" w:rsidRPr="00534441" w:rsidRDefault="00534441" w:rsidP="00534441">
      <w:pPr>
        <w:spacing w:after="0" w:line="240" w:lineRule="auto"/>
      </w:pPr>
      <w:r w:rsidRPr="00534441">
        <w:t xml:space="preserve">Stoffen worden als gemakkelijk biologisch afbreekbaar beschouwd wanneer wordt voldaan aan één van de in tabel 1 omschreven criteria. </w:t>
      </w:r>
    </w:p>
    <w:p w14:paraId="79EAB7D3" w14:textId="77777777" w:rsidR="00056379" w:rsidRDefault="00534441" w:rsidP="00D737EC">
      <w:pPr>
        <w:spacing w:after="0" w:line="240" w:lineRule="auto"/>
        <w:jc w:val="center"/>
        <w:rPr>
          <w:i/>
          <w:u w:val="single"/>
        </w:rPr>
      </w:pPr>
      <w:r w:rsidRPr="00534441">
        <w:rPr>
          <w:i/>
          <w:u w:val="single"/>
        </w:rPr>
        <w:t xml:space="preserve">Tabel </w:t>
      </w:r>
      <w:r w:rsidR="00056379">
        <w:rPr>
          <w:i/>
          <w:u w:val="single"/>
        </w:rPr>
        <w:t>I</w:t>
      </w:r>
      <w:r w:rsidRPr="00534441">
        <w:rPr>
          <w:i/>
          <w:u w:val="single"/>
        </w:rPr>
        <w:t>:</w:t>
      </w:r>
    </w:p>
    <w:p w14:paraId="3C9B19C8" w14:textId="77777777" w:rsidR="00534441" w:rsidRDefault="00534441" w:rsidP="00D737EC">
      <w:pPr>
        <w:spacing w:after="0" w:line="240" w:lineRule="auto"/>
        <w:jc w:val="center"/>
        <w:rPr>
          <w:i/>
          <w:u w:val="single"/>
        </w:rPr>
      </w:pPr>
      <w:r w:rsidRPr="00534441">
        <w:rPr>
          <w:i/>
          <w:u w:val="single"/>
        </w:rPr>
        <w:t>Criteria voor gemakkelijk biologisch afbreekbare stoffen (RIZA, 1997)</w:t>
      </w:r>
    </w:p>
    <w:p w14:paraId="2538D883" w14:textId="77777777" w:rsidR="00056379" w:rsidRPr="00534441" w:rsidRDefault="00056379" w:rsidP="00D737EC">
      <w:pPr>
        <w:spacing w:after="0" w:line="240" w:lineRule="auto"/>
        <w:jc w:val="center"/>
        <w:rPr>
          <w:u w:val="single"/>
        </w:rPr>
      </w:pPr>
    </w:p>
    <w:tbl>
      <w:tblPr>
        <w:tblStyle w:val="Tabelraster"/>
        <w:tblW w:w="9129" w:type="dxa"/>
        <w:tblLook w:val="04A0" w:firstRow="1" w:lastRow="0" w:firstColumn="1" w:lastColumn="0" w:noHBand="0" w:noVBand="1"/>
      </w:tblPr>
      <w:tblGrid>
        <w:gridCol w:w="1129"/>
        <w:gridCol w:w="8000"/>
      </w:tblGrid>
      <w:tr w:rsidR="00534441" w:rsidRPr="00534441" w14:paraId="33335087" w14:textId="77777777" w:rsidTr="00D737EC">
        <w:tc>
          <w:tcPr>
            <w:tcW w:w="1129" w:type="dxa"/>
          </w:tcPr>
          <w:p w14:paraId="10D6DEAD" w14:textId="77777777" w:rsidR="00534441" w:rsidRPr="00534441" w:rsidRDefault="00534441" w:rsidP="00D737EC">
            <w:pPr>
              <w:jc w:val="center"/>
            </w:pPr>
            <w:r w:rsidRPr="00534441">
              <w:t>Criterium</w:t>
            </w:r>
          </w:p>
        </w:tc>
        <w:tc>
          <w:tcPr>
            <w:tcW w:w="8000" w:type="dxa"/>
          </w:tcPr>
          <w:p w14:paraId="1E295875" w14:textId="77777777" w:rsidR="00534441" w:rsidRPr="00534441" w:rsidRDefault="00534441" w:rsidP="00534441">
            <w:r w:rsidRPr="00534441">
              <w:t>Omschrijving</w:t>
            </w:r>
          </w:p>
        </w:tc>
      </w:tr>
      <w:tr w:rsidR="00534441" w:rsidRPr="00534441" w14:paraId="2DBAFBBB" w14:textId="77777777" w:rsidTr="00D737EC">
        <w:tc>
          <w:tcPr>
            <w:tcW w:w="1129" w:type="dxa"/>
          </w:tcPr>
          <w:p w14:paraId="52A52495" w14:textId="77777777" w:rsidR="00534441" w:rsidRPr="00534441" w:rsidRDefault="00534441" w:rsidP="00D737EC">
            <w:pPr>
              <w:jc w:val="center"/>
            </w:pPr>
            <w:r w:rsidRPr="00534441">
              <w:t>A</w:t>
            </w:r>
          </w:p>
        </w:tc>
        <w:tc>
          <w:tcPr>
            <w:tcW w:w="8000" w:type="dxa"/>
          </w:tcPr>
          <w:p w14:paraId="2479444B" w14:textId="77777777" w:rsidR="00534441" w:rsidRPr="00534441" w:rsidRDefault="00534441" w:rsidP="00534441">
            <w:r w:rsidRPr="00534441">
              <w:t xml:space="preserve">Wanneer in de biodegradatiestudies van 28 dagen de volgende degradatieniveaus worden bereikt: </w:t>
            </w:r>
          </w:p>
          <w:p w14:paraId="5B3DB4C1" w14:textId="77777777" w:rsidR="00534441" w:rsidRPr="00534441" w:rsidRDefault="00534441" w:rsidP="00534441">
            <w:r w:rsidRPr="00534441">
              <w:t xml:space="preserve">• in op opgeloste organische koolstof gebaseerde testen: 70%; </w:t>
            </w:r>
          </w:p>
          <w:p w14:paraId="694C4333" w14:textId="77777777" w:rsidR="00534441" w:rsidRPr="00534441" w:rsidRDefault="00534441" w:rsidP="00534441">
            <w:r w:rsidRPr="00534441">
              <w:t xml:space="preserve">• in op zuurstofdepletie of kooldioxide-ontwikkeling gebaseerde testen: 60% van de theoretische maxima. Deze biodegradatieniveaus moeten worden bereikt binnen tien dagen na het begin van de degradatie, hetgeen wordt gesteld als het moment waarop 10% van de stof is afgebroken. </w:t>
            </w:r>
          </w:p>
        </w:tc>
      </w:tr>
      <w:tr w:rsidR="00534441" w:rsidRPr="00534441" w14:paraId="0E9F3E55" w14:textId="77777777" w:rsidTr="00D737EC">
        <w:tc>
          <w:tcPr>
            <w:tcW w:w="1129" w:type="dxa"/>
          </w:tcPr>
          <w:p w14:paraId="7958069A" w14:textId="77777777" w:rsidR="00534441" w:rsidRPr="00534441" w:rsidRDefault="00534441" w:rsidP="00D737EC">
            <w:pPr>
              <w:jc w:val="center"/>
            </w:pPr>
            <w:r w:rsidRPr="00534441">
              <w:t>B</w:t>
            </w:r>
          </w:p>
        </w:tc>
        <w:tc>
          <w:tcPr>
            <w:tcW w:w="8000" w:type="dxa"/>
          </w:tcPr>
          <w:p w14:paraId="410241B3" w14:textId="77777777" w:rsidR="00534441" w:rsidRPr="00534441" w:rsidRDefault="00534441" w:rsidP="00534441">
            <w:r w:rsidRPr="00534441">
              <w:t>In die gevallen waarin alleen gegevens over CZV en BZV beschikbaar zijn, indien het BZ</w:t>
            </w:r>
            <w:r w:rsidR="00E738FD">
              <w:t>V5/CZV-quotiënt groter is dan 0,</w:t>
            </w:r>
            <w:r w:rsidRPr="00534441">
              <w:t xml:space="preserve">5. </w:t>
            </w:r>
          </w:p>
        </w:tc>
      </w:tr>
      <w:tr w:rsidR="00534441" w:rsidRPr="00534441" w14:paraId="5F10DDB5" w14:textId="77777777" w:rsidTr="00D737EC">
        <w:tc>
          <w:tcPr>
            <w:tcW w:w="1129" w:type="dxa"/>
          </w:tcPr>
          <w:p w14:paraId="0E26EF3D" w14:textId="77777777" w:rsidR="00534441" w:rsidRPr="00534441" w:rsidRDefault="00534441" w:rsidP="00D737EC">
            <w:pPr>
              <w:jc w:val="center"/>
            </w:pPr>
            <w:r w:rsidRPr="00534441">
              <w:t>C</w:t>
            </w:r>
          </w:p>
        </w:tc>
        <w:tc>
          <w:tcPr>
            <w:tcW w:w="8000" w:type="dxa"/>
          </w:tcPr>
          <w:p w14:paraId="06B4BF05" w14:textId="77777777" w:rsidR="00534441" w:rsidRPr="00534441" w:rsidRDefault="00534441" w:rsidP="00534441">
            <w:r w:rsidRPr="00534441">
              <w:t>Als ander overtuigend wetenschappelijk bewijs beschikbaar is om aan te tonen dat de stof in het aquatisch milieu kan worden afgebroken (biotisch en/of abiotisch) tot meer dan 70% binnen een periode van 28 dagen.</w:t>
            </w:r>
          </w:p>
        </w:tc>
      </w:tr>
    </w:tbl>
    <w:p w14:paraId="2516601E" w14:textId="77777777" w:rsidR="00534441" w:rsidRPr="00534441" w:rsidRDefault="00534441" w:rsidP="00534441">
      <w:pPr>
        <w:spacing w:after="0" w:line="240" w:lineRule="auto"/>
        <w:rPr>
          <w:i/>
        </w:rPr>
      </w:pPr>
      <w:r w:rsidRPr="00534441">
        <w:rPr>
          <w:i/>
        </w:rPr>
        <w:t>NB.</w:t>
      </w:r>
      <w:r w:rsidRPr="00534441">
        <w:rPr>
          <w:i/>
        </w:rPr>
        <w:tab/>
        <w:t>Deze criteria zijn van toepassing op organische stoffen</w:t>
      </w:r>
    </w:p>
    <w:p w14:paraId="66721FEF" w14:textId="77777777" w:rsidR="00534441" w:rsidRPr="00534441" w:rsidRDefault="00534441" w:rsidP="00534441">
      <w:pPr>
        <w:spacing w:after="0" w:line="240" w:lineRule="auto"/>
      </w:pPr>
    </w:p>
    <w:p w14:paraId="43400724" w14:textId="77777777" w:rsidR="00C556B4" w:rsidRDefault="00E738FD" w:rsidP="00E738FD">
      <w:pPr>
        <w:spacing w:after="0" w:line="240" w:lineRule="auto"/>
      </w:pPr>
      <w:r>
        <w:t xml:space="preserve">Criterium A </w:t>
      </w:r>
      <w:r w:rsidR="00056379">
        <w:t>kan worden aangetoond</w:t>
      </w:r>
      <w:r>
        <w:t xml:space="preserve"> uit de positieve uitkomst van een ready </w:t>
      </w:r>
      <w:proofErr w:type="spellStart"/>
      <w:r>
        <w:t>biodegradability</w:t>
      </w:r>
      <w:proofErr w:type="spellEnd"/>
      <w:r>
        <w:t xml:space="preserve"> test</w:t>
      </w:r>
      <w:r w:rsidR="00C556B4">
        <w:t xml:space="preserve"> (</w:t>
      </w:r>
    </w:p>
    <w:p w14:paraId="0A5EB876" w14:textId="77777777" w:rsidR="00E738FD" w:rsidRDefault="00C556B4" w:rsidP="00E738FD">
      <w:pPr>
        <w:spacing w:after="0" w:line="240" w:lineRule="auto"/>
      </w:pPr>
      <w:r>
        <w:t>RBT)</w:t>
      </w:r>
      <w:r w:rsidR="00E738FD">
        <w:t xml:space="preserve">, waarvoor geldt dat binnen 28 dagen meer dan 60% (of 70% voor sommige testen) moet zijn afgebroken.  Na de initiatiefase moet dat in 10 dagen zijn bereikt. Criteria B en C biedt ruimte aan ander bewijsmateriaal uit testen. </w:t>
      </w:r>
    </w:p>
    <w:p w14:paraId="6ED74C2C" w14:textId="77777777" w:rsidR="00A70E28" w:rsidRDefault="00A70E28" w:rsidP="00056379">
      <w:pPr>
        <w:spacing w:after="0" w:line="240" w:lineRule="auto"/>
      </w:pPr>
    </w:p>
    <w:p w14:paraId="549234DC" w14:textId="77777777" w:rsidR="00056379" w:rsidRPr="00534441" w:rsidRDefault="00414793" w:rsidP="00056379">
      <w:pPr>
        <w:spacing w:after="0" w:line="240" w:lineRule="auto"/>
      </w:pPr>
      <w:r>
        <w:t xml:space="preserve">In Tabel II zijn voorbeelden van </w:t>
      </w:r>
      <w:r w:rsidR="00056379" w:rsidRPr="00534441">
        <w:t>afbreekbaarheidsfactor</w:t>
      </w:r>
      <w:r>
        <w:t>en</w:t>
      </w:r>
      <w:r w:rsidR="00056379" w:rsidRPr="00534441">
        <w:t xml:space="preserve"> </w:t>
      </w:r>
      <w:r w:rsidR="00A7754E">
        <w:t xml:space="preserve">en RBT testuitspraken (voor zover beschikbaar) </w:t>
      </w:r>
      <w:r w:rsidR="00056379" w:rsidRPr="00534441">
        <w:t xml:space="preserve">voor </w:t>
      </w:r>
      <w:r>
        <w:t>een drietal stofgroepen te vinden:</w:t>
      </w:r>
    </w:p>
    <w:p w14:paraId="0802C5F3" w14:textId="77777777" w:rsidR="00056379" w:rsidRPr="00534441" w:rsidRDefault="00056379" w:rsidP="002028F3">
      <w:pPr>
        <w:numPr>
          <w:ilvl w:val="0"/>
          <w:numId w:val="25"/>
        </w:numPr>
        <w:spacing w:after="0" w:line="240" w:lineRule="auto"/>
      </w:pPr>
      <w:r w:rsidRPr="00534441">
        <w:t>Industriële oplosmiddelen</w:t>
      </w:r>
    </w:p>
    <w:p w14:paraId="6D70AF93" w14:textId="77777777" w:rsidR="00056379" w:rsidRPr="00534441" w:rsidRDefault="00056379" w:rsidP="002028F3">
      <w:pPr>
        <w:numPr>
          <w:ilvl w:val="0"/>
          <w:numId w:val="25"/>
        </w:numPr>
        <w:spacing w:after="0" w:line="240" w:lineRule="auto"/>
      </w:pPr>
      <w:r w:rsidRPr="00534441">
        <w:t>Voedingsmiddelen</w:t>
      </w:r>
    </w:p>
    <w:p w14:paraId="170C925E" w14:textId="77777777" w:rsidR="00056379" w:rsidRPr="00534441" w:rsidRDefault="00056379" w:rsidP="002028F3">
      <w:pPr>
        <w:numPr>
          <w:ilvl w:val="0"/>
          <w:numId w:val="25"/>
        </w:numPr>
        <w:spacing w:after="0" w:line="240" w:lineRule="auto"/>
      </w:pPr>
      <w:r w:rsidRPr="00534441">
        <w:t>Waterige oplossingen</w:t>
      </w:r>
    </w:p>
    <w:p w14:paraId="5857CC48" w14:textId="77777777" w:rsidR="00056379" w:rsidRDefault="00056379" w:rsidP="00E738FD">
      <w:pPr>
        <w:spacing w:after="0" w:line="240" w:lineRule="auto"/>
      </w:pPr>
    </w:p>
    <w:p w14:paraId="3B44BF79" w14:textId="77777777" w:rsidR="00056379" w:rsidRDefault="00414793" w:rsidP="00C556B4">
      <w:pPr>
        <w:spacing w:after="0" w:line="240" w:lineRule="auto"/>
        <w:jc w:val="center"/>
        <w:rPr>
          <w:i/>
          <w:u w:val="single"/>
        </w:rPr>
      </w:pPr>
      <w:r>
        <w:rPr>
          <w:i/>
          <w:u w:val="single"/>
        </w:rPr>
        <w:t xml:space="preserve">Tabel </w:t>
      </w:r>
      <w:r w:rsidR="00056379">
        <w:rPr>
          <w:i/>
          <w:u w:val="single"/>
        </w:rPr>
        <w:t>II</w:t>
      </w:r>
      <w:r w:rsidR="00937DD1">
        <w:rPr>
          <w:i/>
          <w:u w:val="single"/>
        </w:rPr>
        <w:t xml:space="preserve"> </w:t>
      </w:r>
      <w:r w:rsidR="00056379" w:rsidRPr="00534441">
        <w:rPr>
          <w:i/>
          <w:u w:val="single"/>
        </w:rPr>
        <w:t>:</w:t>
      </w:r>
      <w:r w:rsidR="00937DD1">
        <w:rPr>
          <w:i/>
          <w:u w:val="single"/>
        </w:rPr>
        <w:t xml:space="preserve">               </w:t>
      </w:r>
      <w:r w:rsidR="00056379" w:rsidRPr="00534441">
        <w:rPr>
          <w:i/>
          <w:u w:val="single"/>
        </w:rPr>
        <w:t>Afbreekbaarheidsfactor</w:t>
      </w:r>
      <w:r w:rsidR="00056379">
        <w:rPr>
          <w:i/>
          <w:u w:val="single"/>
        </w:rPr>
        <w:t xml:space="preserve"> </w:t>
      </w:r>
      <w:r w:rsidR="00056379" w:rsidRPr="00534441">
        <w:rPr>
          <w:i/>
          <w:u w:val="single"/>
        </w:rPr>
        <w:t>BZV/ThZV</w:t>
      </w:r>
      <w:r w:rsidR="00A7754E">
        <w:rPr>
          <w:i/>
          <w:u w:val="single"/>
        </w:rPr>
        <w:t xml:space="preserve"> </w:t>
      </w:r>
      <w:r w:rsidR="00056379">
        <w:rPr>
          <w:i/>
          <w:u w:val="single"/>
        </w:rPr>
        <w:t xml:space="preserve"> van enkele stofgroepen </w:t>
      </w:r>
    </w:p>
    <w:p w14:paraId="57724C36" w14:textId="77777777" w:rsidR="00343ADD" w:rsidRPr="00534441" w:rsidRDefault="00343ADD" w:rsidP="00C556B4">
      <w:pPr>
        <w:spacing w:after="0" w:line="240" w:lineRule="auto"/>
        <w:jc w:val="center"/>
        <w:rPr>
          <w:i/>
          <w:u w:val="single"/>
        </w:rPr>
      </w:pPr>
    </w:p>
    <w:tbl>
      <w:tblPr>
        <w:tblStyle w:val="Tabelraster"/>
        <w:tblW w:w="4793" w:type="pct"/>
        <w:tblLook w:val="04A0" w:firstRow="1" w:lastRow="0" w:firstColumn="1" w:lastColumn="0" w:noHBand="0" w:noVBand="1"/>
      </w:tblPr>
      <w:tblGrid>
        <w:gridCol w:w="2947"/>
        <w:gridCol w:w="3003"/>
        <w:gridCol w:w="2693"/>
      </w:tblGrid>
      <w:tr w:rsidR="00056379" w:rsidRPr="00534441" w14:paraId="7C8723BB" w14:textId="77777777" w:rsidTr="00C770F4">
        <w:tc>
          <w:tcPr>
            <w:tcW w:w="1705" w:type="pct"/>
          </w:tcPr>
          <w:p w14:paraId="56E2A9DA" w14:textId="77777777" w:rsidR="00056379" w:rsidRPr="00534441" w:rsidRDefault="00056379" w:rsidP="00C770F4">
            <w:pPr>
              <w:rPr>
                <w:b/>
              </w:rPr>
            </w:pPr>
            <w:r w:rsidRPr="00534441">
              <w:rPr>
                <w:b/>
              </w:rPr>
              <w:t>1. Industriële oplosmiddelen</w:t>
            </w:r>
          </w:p>
        </w:tc>
        <w:tc>
          <w:tcPr>
            <w:tcW w:w="1737" w:type="pct"/>
          </w:tcPr>
          <w:p w14:paraId="509B0229" w14:textId="77777777" w:rsidR="00056379" w:rsidRPr="003464D8" w:rsidRDefault="00FC0F69" w:rsidP="003464D8">
            <w:pPr>
              <w:jc w:val="center"/>
              <w:rPr>
                <w:b/>
                <w:lang w:val="en-US"/>
              </w:rPr>
            </w:pPr>
            <w:r w:rsidRPr="003464D8">
              <w:rPr>
                <w:b/>
                <w:lang w:val="en-US"/>
              </w:rPr>
              <w:t>BZV / ThZV</w:t>
            </w:r>
            <w:r w:rsidR="003464D8" w:rsidRPr="003464D8">
              <w:rPr>
                <w:b/>
                <w:lang w:val="en-US"/>
              </w:rPr>
              <w:t xml:space="preserve"> </w:t>
            </w:r>
          </w:p>
        </w:tc>
        <w:tc>
          <w:tcPr>
            <w:tcW w:w="1558" w:type="pct"/>
          </w:tcPr>
          <w:p w14:paraId="65AEC34C" w14:textId="77777777" w:rsidR="00056379" w:rsidRPr="00534441" w:rsidRDefault="00FC0F69" w:rsidP="00C556B4">
            <w:pPr>
              <w:jc w:val="center"/>
              <w:rPr>
                <w:b/>
              </w:rPr>
            </w:pPr>
            <w:r>
              <w:rPr>
                <w:b/>
              </w:rPr>
              <w:t>RBT?</w:t>
            </w:r>
          </w:p>
        </w:tc>
      </w:tr>
      <w:tr w:rsidR="00056379" w:rsidRPr="00534441" w14:paraId="586EB8A4" w14:textId="77777777" w:rsidTr="00C770F4">
        <w:tc>
          <w:tcPr>
            <w:tcW w:w="1705" w:type="pct"/>
          </w:tcPr>
          <w:p w14:paraId="6772B711" w14:textId="77777777" w:rsidR="00056379" w:rsidRPr="00534441" w:rsidRDefault="00056379" w:rsidP="00C556B4">
            <w:r w:rsidRPr="00534441">
              <w:t>Benzeen</w:t>
            </w:r>
          </w:p>
        </w:tc>
        <w:tc>
          <w:tcPr>
            <w:tcW w:w="1737" w:type="pct"/>
          </w:tcPr>
          <w:p w14:paraId="36E5E403" w14:textId="77777777" w:rsidR="00056379" w:rsidRPr="00534441" w:rsidRDefault="00FC0F69" w:rsidP="00C556B4">
            <w:pPr>
              <w:jc w:val="center"/>
            </w:pPr>
            <w:r w:rsidRPr="00534441">
              <w:t>2.16/3.08</w:t>
            </w:r>
            <w:r w:rsidR="002C05F6">
              <w:t xml:space="preserve">       </w:t>
            </w:r>
            <w:r w:rsidRPr="00534441">
              <w:t>=0.702</w:t>
            </w:r>
          </w:p>
        </w:tc>
        <w:tc>
          <w:tcPr>
            <w:tcW w:w="1558" w:type="pct"/>
          </w:tcPr>
          <w:p w14:paraId="2C6922F4" w14:textId="77777777" w:rsidR="00056379" w:rsidRPr="00534441" w:rsidRDefault="00FC0F69" w:rsidP="00C556B4">
            <w:pPr>
              <w:jc w:val="center"/>
            </w:pPr>
            <w:r>
              <w:t>J</w:t>
            </w:r>
            <w:r w:rsidR="00E96C17">
              <w:t>a</w:t>
            </w:r>
            <w:r>
              <w:t xml:space="preserve"> (100%, ECHA)</w:t>
            </w:r>
          </w:p>
        </w:tc>
      </w:tr>
      <w:tr w:rsidR="007C7225" w:rsidRPr="00534441" w14:paraId="216B47F7" w14:textId="77777777" w:rsidTr="00C770F4">
        <w:tc>
          <w:tcPr>
            <w:tcW w:w="1705" w:type="pct"/>
          </w:tcPr>
          <w:p w14:paraId="2AAE48CA" w14:textId="77777777" w:rsidR="007C7225" w:rsidRPr="00534441" w:rsidRDefault="007C7225" w:rsidP="007C7225">
            <w:r w:rsidRPr="00534441">
              <w:t>MIBK</w:t>
            </w:r>
          </w:p>
        </w:tc>
        <w:tc>
          <w:tcPr>
            <w:tcW w:w="1737" w:type="pct"/>
          </w:tcPr>
          <w:p w14:paraId="7B2B45B8" w14:textId="77777777" w:rsidR="007C7225" w:rsidRPr="00534441" w:rsidRDefault="007C7225" w:rsidP="00C556B4">
            <w:pPr>
              <w:jc w:val="center"/>
            </w:pPr>
            <w:r w:rsidRPr="00534441">
              <w:t>2.06/2.71</w:t>
            </w:r>
            <w:r w:rsidR="002C05F6">
              <w:t xml:space="preserve">      </w:t>
            </w:r>
            <w:r w:rsidRPr="00534441">
              <w:t>=0.76</w:t>
            </w:r>
          </w:p>
        </w:tc>
        <w:tc>
          <w:tcPr>
            <w:tcW w:w="1558" w:type="pct"/>
          </w:tcPr>
          <w:p w14:paraId="461EA9F7" w14:textId="77777777" w:rsidR="007C7225" w:rsidRPr="00534441" w:rsidRDefault="00E96C17" w:rsidP="00C556B4">
            <w:pPr>
              <w:jc w:val="center"/>
            </w:pPr>
            <w:r>
              <w:t>Ja</w:t>
            </w:r>
            <w:r w:rsidR="007C7225" w:rsidRPr="00263D48">
              <w:t xml:space="preserve"> (100%, ECHA)</w:t>
            </w:r>
          </w:p>
        </w:tc>
      </w:tr>
      <w:tr w:rsidR="007C7225" w:rsidRPr="00534441" w14:paraId="392AF876" w14:textId="77777777" w:rsidTr="00C770F4">
        <w:tc>
          <w:tcPr>
            <w:tcW w:w="1705" w:type="pct"/>
          </w:tcPr>
          <w:p w14:paraId="2BB4A367" w14:textId="77777777" w:rsidR="007C7225" w:rsidRPr="00534441" w:rsidRDefault="007C7225" w:rsidP="00C556B4">
            <w:r w:rsidRPr="00534441">
              <w:lastRenderedPageBreak/>
              <w:t xml:space="preserve">MEK </w:t>
            </w:r>
          </w:p>
        </w:tc>
        <w:tc>
          <w:tcPr>
            <w:tcW w:w="1737" w:type="pct"/>
          </w:tcPr>
          <w:p w14:paraId="4BED63A2" w14:textId="77777777" w:rsidR="007C7225" w:rsidRPr="00534441" w:rsidRDefault="007C7225" w:rsidP="00C556B4">
            <w:pPr>
              <w:jc w:val="center"/>
            </w:pPr>
            <w:r>
              <w:t>1.92/2.44</w:t>
            </w:r>
            <w:r w:rsidR="002C05F6">
              <w:t xml:space="preserve">       </w:t>
            </w:r>
            <w:r>
              <w:t>=0.787</w:t>
            </w:r>
          </w:p>
        </w:tc>
        <w:tc>
          <w:tcPr>
            <w:tcW w:w="1558" w:type="pct"/>
          </w:tcPr>
          <w:p w14:paraId="6D14270C" w14:textId="77777777" w:rsidR="007C7225" w:rsidRPr="00534441" w:rsidRDefault="00E96C17" w:rsidP="00C556B4">
            <w:pPr>
              <w:jc w:val="center"/>
            </w:pPr>
            <w:r>
              <w:t>Ja</w:t>
            </w:r>
            <w:r w:rsidR="007C7225" w:rsidRPr="00263D48">
              <w:t xml:space="preserve"> (100%, ECHA)</w:t>
            </w:r>
          </w:p>
        </w:tc>
      </w:tr>
      <w:tr w:rsidR="007C7225" w:rsidRPr="00534441" w14:paraId="22D9C3E5" w14:textId="77777777" w:rsidTr="00C770F4">
        <w:tc>
          <w:tcPr>
            <w:tcW w:w="1705" w:type="pct"/>
          </w:tcPr>
          <w:p w14:paraId="408A9F82" w14:textId="77777777" w:rsidR="007C7225" w:rsidRPr="00534441" w:rsidRDefault="007C7225" w:rsidP="007C7225">
            <w:r w:rsidRPr="00534441">
              <w:t>Fenol</w:t>
            </w:r>
            <w:r w:rsidRPr="00534441" w:rsidDel="007C7225">
              <w:t xml:space="preserve"> </w:t>
            </w:r>
          </w:p>
        </w:tc>
        <w:tc>
          <w:tcPr>
            <w:tcW w:w="1737" w:type="pct"/>
          </w:tcPr>
          <w:p w14:paraId="2116137F" w14:textId="77777777" w:rsidR="007C7225" w:rsidRPr="00534441" w:rsidRDefault="007C7225" w:rsidP="00C556B4">
            <w:pPr>
              <w:jc w:val="center"/>
            </w:pPr>
            <w:r>
              <w:t>1.68/2.38</w:t>
            </w:r>
            <w:r w:rsidR="002C05F6">
              <w:t xml:space="preserve">       </w:t>
            </w:r>
            <w:r>
              <w:t>=0.706</w:t>
            </w:r>
          </w:p>
        </w:tc>
        <w:tc>
          <w:tcPr>
            <w:tcW w:w="1558" w:type="pct"/>
          </w:tcPr>
          <w:p w14:paraId="66F6BDBC" w14:textId="77777777" w:rsidR="007C7225" w:rsidRPr="00534441" w:rsidRDefault="00E96C17" w:rsidP="00C556B4">
            <w:pPr>
              <w:jc w:val="center"/>
            </w:pPr>
            <w:r>
              <w:t>Ja</w:t>
            </w:r>
            <w:r w:rsidR="007C7225" w:rsidRPr="00263D48">
              <w:t xml:space="preserve"> (100%, ECHA)</w:t>
            </w:r>
          </w:p>
        </w:tc>
      </w:tr>
      <w:tr w:rsidR="007C7225" w:rsidRPr="00AA7242" w14:paraId="40F1317E" w14:textId="77777777" w:rsidTr="00C770F4">
        <w:tc>
          <w:tcPr>
            <w:tcW w:w="1705" w:type="pct"/>
          </w:tcPr>
          <w:p w14:paraId="173CDF91" w14:textId="77777777" w:rsidR="007C7225" w:rsidRPr="00534441" w:rsidRDefault="007C7225" w:rsidP="00C556B4">
            <w:proofErr w:type="spellStart"/>
            <w:r w:rsidRPr="00534441">
              <w:t>Isopropylalkohol</w:t>
            </w:r>
            <w:proofErr w:type="spellEnd"/>
            <w:r w:rsidRPr="00534441">
              <w:t xml:space="preserve"> </w:t>
            </w:r>
          </w:p>
        </w:tc>
        <w:tc>
          <w:tcPr>
            <w:tcW w:w="1737" w:type="pct"/>
          </w:tcPr>
          <w:p w14:paraId="15597A12" w14:textId="77777777" w:rsidR="007C7225" w:rsidRPr="00534441" w:rsidRDefault="007C7225" w:rsidP="00C556B4">
            <w:pPr>
              <w:jc w:val="center"/>
            </w:pPr>
            <w:r>
              <w:t>1.59/2.4</w:t>
            </w:r>
            <w:r w:rsidR="002C05F6">
              <w:t xml:space="preserve">        </w:t>
            </w:r>
            <w:r>
              <w:t>=0.66</w:t>
            </w:r>
          </w:p>
        </w:tc>
        <w:tc>
          <w:tcPr>
            <w:tcW w:w="1558" w:type="pct"/>
          </w:tcPr>
          <w:p w14:paraId="24ACC774" w14:textId="77777777" w:rsidR="00960A66" w:rsidRDefault="002028F3" w:rsidP="00960A66">
            <w:pPr>
              <w:jc w:val="center"/>
              <w:rPr>
                <w:lang w:val="en-US"/>
              </w:rPr>
            </w:pPr>
            <w:r>
              <w:rPr>
                <w:lang w:val="en-US"/>
              </w:rPr>
              <w:t xml:space="preserve">Ja </w:t>
            </w:r>
          </w:p>
          <w:p w14:paraId="136C687D" w14:textId="77777777" w:rsidR="007C7225" w:rsidRPr="00C556B4" w:rsidRDefault="002028F3" w:rsidP="00960A66">
            <w:pPr>
              <w:jc w:val="center"/>
              <w:rPr>
                <w:lang w:val="en-US"/>
              </w:rPr>
            </w:pPr>
            <w:r>
              <w:rPr>
                <w:lang w:val="en-US"/>
              </w:rPr>
              <w:t>(MSDS</w:t>
            </w:r>
            <w:r w:rsidR="00414793">
              <w:rPr>
                <w:lang w:val="en-US"/>
              </w:rPr>
              <w:t>,</w:t>
            </w:r>
            <w:r>
              <w:rPr>
                <w:lang w:val="en-US"/>
              </w:rPr>
              <w:t xml:space="preserve"> CDH Fine chemical)</w:t>
            </w:r>
          </w:p>
        </w:tc>
      </w:tr>
      <w:tr w:rsidR="007C7225" w:rsidRPr="00534441" w14:paraId="6AFAEE50" w14:textId="77777777" w:rsidTr="00C770F4">
        <w:tc>
          <w:tcPr>
            <w:tcW w:w="1705" w:type="pct"/>
          </w:tcPr>
          <w:p w14:paraId="00047D74" w14:textId="77777777" w:rsidR="007C7225" w:rsidRPr="00534441" w:rsidRDefault="007C7225" w:rsidP="00C556B4">
            <w:r w:rsidRPr="00534441">
              <w:t xml:space="preserve">Ethanol </w:t>
            </w:r>
          </w:p>
        </w:tc>
        <w:tc>
          <w:tcPr>
            <w:tcW w:w="1737" w:type="pct"/>
          </w:tcPr>
          <w:p w14:paraId="474D73FA" w14:textId="77777777" w:rsidR="007C7225" w:rsidRPr="00534441" w:rsidRDefault="002028F3" w:rsidP="00C556B4">
            <w:pPr>
              <w:jc w:val="center"/>
            </w:pPr>
            <w:r>
              <w:t>1.</w:t>
            </w:r>
            <w:r w:rsidR="00E96C17">
              <w:t>3</w:t>
            </w:r>
            <w:r w:rsidR="002C05F6">
              <w:t xml:space="preserve">/2.08     </w:t>
            </w:r>
            <w:r w:rsidR="00E96C17">
              <w:t xml:space="preserve">  </w:t>
            </w:r>
            <w:r w:rsidR="002C05F6">
              <w:t xml:space="preserve"> =0.</w:t>
            </w:r>
            <w:r w:rsidR="00E96C17">
              <w:t>63</w:t>
            </w:r>
          </w:p>
        </w:tc>
        <w:tc>
          <w:tcPr>
            <w:tcW w:w="1558" w:type="pct"/>
          </w:tcPr>
          <w:p w14:paraId="01671771" w14:textId="77777777" w:rsidR="007C7225" w:rsidRPr="00534441" w:rsidRDefault="00E96C17" w:rsidP="00C556B4">
            <w:pPr>
              <w:jc w:val="center"/>
            </w:pPr>
            <w:r>
              <w:t>Ja</w:t>
            </w:r>
            <w:r w:rsidR="002C05F6">
              <w:t xml:space="preserve"> (100%, ECHA)</w:t>
            </w:r>
          </w:p>
        </w:tc>
      </w:tr>
      <w:tr w:rsidR="007C7225" w:rsidRPr="00534441" w14:paraId="2CA33D4F" w14:textId="77777777" w:rsidTr="00C770F4">
        <w:tc>
          <w:tcPr>
            <w:tcW w:w="1705" w:type="pct"/>
          </w:tcPr>
          <w:p w14:paraId="68C75067" w14:textId="77777777" w:rsidR="007C7225" w:rsidRPr="00534441" w:rsidRDefault="007C7225" w:rsidP="00C556B4">
            <w:r w:rsidRPr="00534441">
              <w:t>Methanol</w:t>
            </w:r>
          </w:p>
        </w:tc>
        <w:tc>
          <w:tcPr>
            <w:tcW w:w="1737" w:type="pct"/>
          </w:tcPr>
          <w:p w14:paraId="41648145" w14:textId="77777777" w:rsidR="007C7225" w:rsidRPr="00534441" w:rsidRDefault="00EB39C7" w:rsidP="00C556B4">
            <w:pPr>
              <w:jc w:val="center"/>
            </w:pPr>
            <w:r>
              <w:t>0.</w:t>
            </w:r>
            <w:r w:rsidR="002C05F6" w:rsidRPr="00534441">
              <w:t>76/</w:t>
            </w:r>
            <w:r w:rsidR="002C05F6">
              <w:t>1</w:t>
            </w:r>
            <w:r w:rsidR="00D63769">
              <w:t>.0</w:t>
            </w:r>
            <w:r>
              <w:t xml:space="preserve">            </w:t>
            </w:r>
            <w:r w:rsidR="002C05F6" w:rsidRPr="00534441">
              <w:t>=0.</w:t>
            </w:r>
            <w:r w:rsidR="002C05F6">
              <w:t>76</w:t>
            </w:r>
          </w:p>
        </w:tc>
        <w:tc>
          <w:tcPr>
            <w:tcW w:w="1558" w:type="pct"/>
          </w:tcPr>
          <w:p w14:paraId="47C00597" w14:textId="77777777" w:rsidR="007C7225" w:rsidRPr="00534441" w:rsidRDefault="00E96C17" w:rsidP="00C556B4">
            <w:pPr>
              <w:jc w:val="center"/>
            </w:pPr>
            <w:r>
              <w:t>Ja</w:t>
            </w:r>
            <w:r w:rsidR="002C05F6">
              <w:t xml:space="preserve"> (100%, ECHA)</w:t>
            </w:r>
          </w:p>
        </w:tc>
      </w:tr>
      <w:tr w:rsidR="007C7225" w:rsidRPr="00534441" w14:paraId="4BB8322C" w14:textId="77777777" w:rsidTr="00C770F4">
        <w:tc>
          <w:tcPr>
            <w:tcW w:w="1705" w:type="pct"/>
          </w:tcPr>
          <w:p w14:paraId="0D73D62B" w14:textId="77777777" w:rsidR="007C7225" w:rsidRPr="00534441" w:rsidRDefault="007C7225" w:rsidP="00C556B4">
            <w:r w:rsidRPr="00534441">
              <w:t xml:space="preserve">Formaldehyde </w:t>
            </w:r>
          </w:p>
        </w:tc>
        <w:tc>
          <w:tcPr>
            <w:tcW w:w="1737" w:type="pct"/>
          </w:tcPr>
          <w:p w14:paraId="2FEBFAA0" w14:textId="77777777" w:rsidR="007C7225" w:rsidRPr="00534441" w:rsidRDefault="00EB39C7" w:rsidP="00C556B4">
            <w:pPr>
              <w:jc w:val="center"/>
            </w:pPr>
            <w:r>
              <w:t>0.73/1.066        =0.684</w:t>
            </w:r>
          </w:p>
        </w:tc>
        <w:tc>
          <w:tcPr>
            <w:tcW w:w="1558" w:type="pct"/>
          </w:tcPr>
          <w:p w14:paraId="0AFA9F26" w14:textId="77777777" w:rsidR="007C7225" w:rsidRPr="00534441" w:rsidRDefault="00E96C17" w:rsidP="00C556B4">
            <w:pPr>
              <w:jc w:val="center"/>
            </w:pPr>
            <w:r>
              <w:t>Ja</w:t>
            </w:r>
            <w:r w:rsidR="00EB39C7">
              <w:t xml:space="preserve"> (100%, ECHA)</w:t>
            </w:r>
          </w:p>
        </w:tc>
      </w:tr>
      <w:tr w:rsidR="007C7225" w:rsidRPr="00534441" w14:paraId="61D4160E" w14:textId="77777777" w:rsidTr="00C770F4">
        <w:tc>
          <w:tcPr>
            <w:tcW w:w="1705" w:type="pct"/>
          </w:tcPr>
          <w:p w14:paraId="746992C1" w14:textId="77777777" w:rsidR="007C7225" w:rsidRPr="00534441" w:rsidRDefault="007C7225" w:rsidP="007C7225">
            <w:r w:rsidRPr="00534441">
              <w:rPr>
                <w:b/>
              </w:rPr>
              <w:t>2. Voedingsmiddelen</w:t>
            </w:r>
          </w:p>
        </w:tc>
        <w:tc>
          <w:tcPr>
            <w:tcW w:w="1737" w:type="pct"/>
          </w:tcPr>
          <w:p w14:paraId="112FEEFA" w14:textId="77777777" w:rsidR="007C7225" w:rsidRPr="00534441" w:rsidRDefault="003464D8" w:rsidP="00C556B4">
            <w:pPr>
              <w:jc w:val="center"/>
            </w:pPr>
            <w:r w:rsidRPr="00D63769">
              <w:rPr>
                <w:b/>
              </w:rPr>
              <w:t>BZV/CZV</w:t>
            </w:r>
          </w:p>
        </w:tc>
        <w:tc>
          <w:tcPr>
            <w:tcW w:w="1558" w:type="pct"/>
          </w:tcPr>
          <w:p w14:paraId="76EF9FD8" w14:textId="77777777" w:rsidR="007C7225" w:rsidRPr="00534441" w:rsidRDefault="007C7225" w:rsidP="00C556B4">
            <w:pPr>
              <w:jc w:val="center"/>
            </w:pPr>
          </w:p>
        </w:tc>
      </w:tr>
      <w:tr w:rsidR="007C7225" w:rsidRPr="00534441" w14:paraId="002D9A01" w14:textId="77777777" w:rsidTr="00C770F4">
        <w:tc>
          <w:tcPr>
            <w:tcW w:w="1705" w:type="pct"/>
          </w:tcPr>
          <w:p w14:paraId="205F0934" w14:textId="77777777" w:rsidR="007C7225" w:rsidRPr="00534441" w:rsidRDefault="007C7225" w:rsidP="00C556B4">
            <w:r w:rsidRPr="00534441">
              <w:t>Suiker</w:t>
            </w:r>
          </w:p>
        </w:tc>
        <w:tc>
          <w:tcPr>
            <w:tcW w:w="1737" w:type="pct"/>
          </w:tcPr>
          <w:p w14:paraId="78F0DBDD" w14:textId="77777777" w:rsidR="007C7225" w:rsidRPr="00534441" w:rsidRDefault="003464D8" w:rsidP="003464D8">
            <w:pPr>
              <w:jc w:val="center"/>
            </w:pPr>
            <w:r>
              <w:t>0.7</w:t>
            </w:r>
            <w:r w:rsidR="00EB39C7" w:rsidRPr="00534441">
              <w:t>/1.</w:t>
            </w:r>
            <w:r>
              <w:t>1</w:t>
            </w:r>
            <w:r w:rsidR="00EB39C7">
              <w:t xml:space="preserve">    </w:t>
            </w:r>
            <w:r>
              <w:t xml:space="preserve">     </w:t>
            </w:r>
            <w:r w:rsidR="00EB39C7">
              <w:t xml:space="preserve">   </w:t>
            </w:r>
            <w:r>
              <w:t>=0.64</w:t>
            </w:r>
          </w:p>
        </w:tc>
        <w:tc>
          <w:tcPr>
            <w:tcW w:w="1558" w:type="pct"/>
          </w:tcPr>
          <w:p w14:paraId="4B2FB488" w14:textId="77777777" w:rsidR="007C7225" w:rsidRPr="00534441" w:rsidRDefault="00EB39C7" w:rsidP="00C556B4">
            <w:pPr>
              <w:jc w:val="center"/>
            </w:pPr>
            <w:r>
              <w:t>-</w:t>
            </w:r>
          </w:p>
        </w:tc>
      </w:tr>
      <w:tr w:rsidR="007C7225" w:rsidRPr="00534441" w14:paraId="42358D58" w14:textId="77777777" w:rsidTr="00C770F4">
        <w:tc>
          <w:tcPr>
            <w:tcW w:w="1705" w:type="pct"/>
          </w:tcPr>
          <w:p w14:paraId="7079CE9C" w14:textId="77777777" w:rsidR="007C7225" w:rsidRPr="00534441" w:rsidRDefault="003464D8" w:rsidP="00C556B4">
            <w:r>
              <w:t>Eiwit</w:t>
            </w:r>
          </w:p>
        </w:tc>
        <w:tc>
          <w:tcPr>
            <w:tcW w:w="1737" w:type="pct"/>
          </w:tcPr>
          <w:p w14:paraId="0BF823FF" w14:textId="77777777" w:rsidR="007C7225" w:rsidRPr="00534441" w:rsidRDefault="003464D8" w:rsidP="00C556B4">
            <w:pPr>
              <w:jc w:val="center"/>
            </w:pPr>
            <w:r>
              <w:t>0.7/1.4         =</w:t>
            </w:r>
            <w:r w:rsidR="006E2B5D">
              <w:t>0.5</w:t>
            </w:r>
          </w:p>
        </w:tc>
        <w:tc>
          <w:tcPr>
            <w:tcW w:w="1558" w:type="pct"/>
          </w:tcPr>
          <w:p w14:paraId="4989B019" w14:textId="77777777" w:rsidR="007C7225" w:rsidRPr="00534441" w:rsidRDefault="00EB39C7" w:rsidP="00C556B4">
            <w:pPr>
              <w:jc w:val="center"/>
            </w:pPr>
            <w:r>
              <w:t>-</w:t>
            </w:r>
          </w:p>
        </w:tc>
      </w:tr>
      <w:tr w:rsidR="007C7225" w:rsidRPr="00534441" w14:paraId="72B1AE23" w14:textId="77777777" w:rsidTr="00C770F4">
        <w:tc>
          <w:tcPr>
            <w:tcW w:w="1705" w:type="pct"/>
          </w:tcPr>
          <w:p w14:paraId="1B7C2FC7" w14:textId="77777777" w:rsidR="007C7225" w:rsidRPr="00534441" w:rsidRDefault="003464D8" w:rsidP="00C556B4">
            <w:r>
              <w:t>Vet</w:t>
            </w:r>
          </w:p>
        </w:tc>
        <w:tc>
          <w:tcPr>
            <w:tcW w:w="1737" w:type="pct"/>
          </w:tcPr>
          <w:p w14:paraId="0641B1B9" w14:textId="77777777" w:rsidR="007C7225" w:rsidRPr="00534441" w:rsidRDefault="003464D8" w:rsidP="00C556B4">
            <w:pPr>
              <w:jc w:val="center"/>
            </w:pPr>
            <w:r>
              <w:t xml:space="preserve">1.4/3.4       </w:t>
            </w:r>
            <w:r w:rsidR="00390E92">
              <w:t xml:space="preserve"> </w:t>
            </w:r>
            <w:r>
              <w:t xml:space="preserve">   =0.41</w:t>
            </w:r>
          </w:p>
        </w:tc>
        <w:tc>
          <w:tcPr>
            <w:tcW w:w="1558" w:type="pct"/>
          </w:tcPr>
          <w:p w14:paraId="214BC42D" w14:textId="77777777" w:rsidR="007C7225" w:rsidRPr="00534441" w:rsidRDefault="006E2B5D" w:rsidP="00C556B4">
            <w:pPr>
              <w:jc w:val="center"/>
            </w:pPr>
            <w:r>
              <w:t>-</w:t>
            </w:r>
          </w:p>
        </w:tc>
      </w:tr>
      <w:tr w:rsidR="003464D8" w:rsidRPr="00534441" w14:paraId="76F860CE" w14:textId="77777777" w:rsidTr="00C770F4">
        <w:tc>
          <w:tcPr>
            <w:tcW w:w="1705" w:type="pct"/>
          </w:tcPr>
          <w:p w14:paraId="257272F9" w14:textId="77777777" w:rsidR="003464D8" w:rsidRPr="00534441" w:rsidRDefault="003464D8" w:rsidP="003464D8">
            <w:r>
              <w:t xml:space="preserve">Melkproducten </w:t>
            </w:r>
          </w:p>
        </w:tc>
        <w:tc>
          <w:tcPr>
            <w:tcW w:w="1737" w:type="pct"/>
          </w:tcPr>
          <w:p w14:paraId="32B1707B" w14:textId="77777777" w:rsidR="003464D8" w:rsidRPr="00534441" w:rsidRDefault="003464D8" w:rsidP="003464D8">
            <w:pPr>
              <w:jc w:val="center"/>
            </w:pPr>
            <w:r>
              <w:t>0.15/0.32        =0.47</w:t>
            </w:r>
          </w:p>
        </w:tc>
        <w:tc>
          <w:tcPr>
            <w:tcW w:w="1558" w:type="pct"/>
          </w:tcPr>
          <w:p w14:paraId="5C34F719" w14:textId="77777777" w:rsidR="003464D8" w:rsidRPr="00534441" w:rsidRDefault="006E2B5D" w:rsidP="003464D8">
            <w:pPr>
              <w:jc w:val="center"/>
            </w:pPr>
            <w:r>
              <w:t>-</w:t>
            </w:r>
          </w:p>
        </w:tc>
      </w:tr>
      <w:tr w:rsidR="003464D8" w:rsidRPr="00534441" w14:paraId="0EF24D9F" w14:textId="77777777" w:rsidTr="00C770F4">
        <w:tc>
          <w:tcPr>
            <w:tcW w:w="1705" w:type="pct"/>
          </w:tcPr>
          <w:p w14:paraId="31A6C02A" w14:textId="77777777" w:rsidR="003464D8" w:rsidRPr="00534441" w:rsidRDefault="003464D8" w:rsidP="003464D8"/>
        </w:tc>
        <w:tc>
          <w:tcPr>
            <w:tcW w:w="1737" w:type="pct"/>
          </w:tcPr>
          <w:p w14:paraId="6526D283" w14:textId="77777777" w:rsidR="003464D8" w:rsidRPr="00534441" w:rsidRDefault="003464D8" w:rsidP="003464D8">
            <w:pPr>
              <w:jc w:val="center"/>
            </w:pPr>
          </w:p>
        </w:tc>
        <w:tc>
          <w:tcPr>
            <w:tcW w:w="1558" w:type="pct"/>
          </w:tcPr>
          <w:p w14:paraId="1D66E1D4" w14:textId="77777777" w:rsidR="003464D8" w:rsidRPr="00534441" w:rsidRDefault="003464D8" w:rsidP="003464D8">
            <w:pPr>
              <w:jc w:val="center"/>
            </w:pPr>
          </w:p>
        </w:tc>
      </w:tr>
      <w:tr w:rsidR="003464D8" w:rsidRPr="00534441" w14:paraId="5CA69CEB" w14:textId="77777777" w:rsidTr="00C770F4">
        <w:tc>
          <w:tcPr>
            <w:tcW w:w="1705" w:type="pct"/>
          </w:tcPr>
          <w:p w14:paraId="00988ACE" w14:textId="77777777" w:rsidR="003464D8" w:rsidRPr="00534441" w:rsidRDefault="003464D8" w:rsidP="003464D8">
            <w:r w:rsidRPr="00534441">
              <w:rPr>
                <w:b/>
              </w:rPr>
              <w:t>3. Waterige oplossingen</w:t>
            </w:r>
          </w:p>
        </w:tc>
        <w:tc>
          <w:tcPr>
            <w:tcW w:w="1737" w:type="pct"/>
          </w:tcPr>
          <w:p w14:paraId="7711C398" w14:textId="77777777" w:rsidR="003464D8" w:rsidRPr="006E2B5D" w:rsidRDefault="004E4937" w:rsidP="003464D8">
            <w:pPr>
              <w:jc w:val="center"/>
              <w:rPr>
                <w:b/>
              </w:rPr>
            </w:pPr>
            <w:r>
              <w:rPr>
                <w:b/>
              </w:rPr>
              <w:t>BZV/CZV</w:t>
            </w:r>
          </w:p>
        </w:tc>
        <w:tc>
          <w:tcPr>
            <w:tcW w:w="1558" w:type="pct"/>
          </w:tcPr>
          <w:p w14:paraId="7F899859" w14:textId="77777777" w:rsidR="003464D8" w:rsidRPr="00534441" w:rsidRDefault="003464D8" w:rsidP="003464D8">
            <w:pPr>
              <w:jc w:val="center"/>
            </w:pPr>
          </w:p>
        </w:tc>
      </w:tr>
      <w:tr w:rsidR="003464D8" w:rsidRPr="00534441" w14:paraId="313B6257" w14:textId="77777777" w:rsidTr="00C770F4">
        <w:tc>
          <w:tcPr>
            <w:tcW w:w="1705" w:type="pct"/>
          </w:tcPr>
          <w:p w14:paraId="7EDED6AF" w14:textId="77777777" w:rsidR="003464D8" w:rsidRPr="00534441" w:rsidRDefault="003464D8" w:rsidP="003464D8">
            <w:r>
              <w:t xml:space="preserve">Wei/ondermelk </w:t>
            </w:r>
          </w:p>
        </w:tc>
        <w:tc>
          <w:tcPr>
            <w:tcW w:w="1737" w:type="pct"/>
          </w:tcPr>
          <w:p w14:paraId="45DEE651" w14:textId="77777777" w:rsidR="003464D8" w:rsidRPr="00534441" w:rsidRDefault="003464D8" w:rsidP="003464D8">
            <w:pPr>
              <w:jc w:val="center"/>
            </w:pPr>
            <w:r>
              <w:t xml:space="preserve">0.03/0.06    </w:t>
            </w:r>
            <w:r w:rsidR="00EA580D">
              <w:t xml:space="preserve">     </w:t>
            </w:r>
            <w:r>
              <w:t xml:space="preserve">  =0.5</w:t>
            </w:r>
          </w:p>
        </w:tc>
        <w:tc>
          <w:tcPr>
            <w:tcW w:w="1558" w:type="pct"/>
          </w:tcPr>
          <w:p w14:paraId="13369D40" w14:textId="77777777" w:rsidR="003464D8" w:rsidRPr="00534441" w:rsidRDefault="003464D8" w:rsidP="003464D8">
            <w:pPr>
              <w:jc w:val="center"/>
            </w:pPr>
            <w:r>
              <w:t>-</w:t>
            </w:r>
          </w:p>
        </w:tc>
      </w:tr>
      <w:tr w:rsidR="003464D8" w:rsidRPr="00534441" w14:paraId="01378C82" w14:textId="77777777" w:rsidTr="00C770F4">
        <w:tc>
          <w:tcPr>
            <w:tcW w:w="1705" w:type="pct"/>
          </w:tcPr>
          <w:p w14:paraId="4E385F06" w14:textId="77777777" w:rsidR="003464D8" w:rsidRPr="00534441" w:rsidRDefault="003464D8" w:rsidP="003464D8">
            <w:r w:rsidRPr="00534441">
              <w:t xml:space="preserve">Drijfmest </w:t>
            </w:r>
          </w:p>
        </w:tc>
        <w:tc>
          <w:tcPr>
            <w:tcW w:w="1737" w:type="pct"/>
          </w:tcPr>
          <w:p w14:paraId="63A24497" w14:textId="77777777" w:rsidR="003464D8" w:rsidRPr="00534441" w:rsidRDefault="003464D8" w:rsidP="007174A5">
            <w:pPr>
              <w:jc w:val="center"/>
            </w:pPr>
            <w:r>
              <w:t>0.</w:t>
            </w:r>
            <w:r w:rsidR="007174A5">
              <w:t>0</w:t>
            </w:r>
            <w:r>
              <w:t>0</w:t>
            </w:r>
            <w:r w:rsidR="007174A5">
              <w:t>49</w:t>
            </w:r>
            <w:r>
              <w:t>/0.0</w:t>
            </w:r>
            <w:r w:rsidR="007174A5">
              <w:t>1</w:t>
            </w:r>
            <w:r>
              <w:t xml:space="preserve">  </w:t>
            </w:r>
            <w:r w:rsidR="00EA580D">
              <w:t xml:space="preserve">   </w:t>
            </w:r>
            <w:r>
              <w:t xml:space="preserve">  =0.</w:t>
            </w:r>
            <w:r w:rsidR="007174A5">
              <w:t>49</w:t>
            </w:r>
          </w:p>
        </w:tc>
        <w:tc>
          <w:tcPr>
            <w:tcW w:w="1558" w:type="pct"/>
          </w:tcPr>
          <w:p w14:paraId="632E45C5" w14:textId="77777777" w:rsidR="003464D8" w:rsidRPr="00534441" w:rsidRDefault="003464D8" w:rsidP="003464D8">
            <w:pPr>
              <w:jc w:val="center"/>
            </w:pPr>
            <w:r>
              <w:t>-</w:t>
            </w:r>
          </w:p>
        </w:tc>
      </w:tr>
      <w:tr w:rsidR="003464D8" w:rsidRPr="00534441" w14:paraId="25243331" w14:textId="77777777" w:rsidTr="00C770F4">
        <w:tc>
          <w:tcPr>
            <w:tcW w:w="1705" w:type="pct"/>
          </w:tcPr>
          <w:p w14:paraId="4B1606F5" w14:textId="77777777" w:rsidR="003464D8" w:rsidRPr="00534441" w:rsidRDefault="003464D8" w:rsidP="003464D8">
            <w:r w:rsidRPr="00534441">
              <w:t xml:space="preserve">Gier </w:t>
            </w:r>
          </w:p>
        </w:tc>
        <w:tc>
          <w:tcPr>
            <w:tcW w:w="1737" w:type="pct"/>
          </w:tcPr>
          <w:p w14:paraId="2715B388" w14:textId="77777777" w:rsidR="003464D8" w:rsidRPr="00534441" w:rsidRDefault="003464D8" w:rsidP="003464D8">
            <w:pPr>
              <w:jc w:val="center"/>
            </w:pPr>
            <w:r>
              <w:t xml:space="preserve">0.003/0.006   </w:t>
            </w:r>
            <w:r w:rsidR="00EA580D">
              <w:t xml:space="preserve">  </w:t>
            </w:r>
            <w:r>
              <w:t xml:space="preserve"> =0.5</w:t>
            </w:r>
          </w:p>
        </w:tc>
        <w:tc>
          <w:tcPr>
            <w:tcW w:w="1558" w:type="pct"/>
          </w:tcPr>
          <w:p w14:paraId="06953523" w14:textId="77777777" w:rsidR="003464D8" w:rsidRPr="00534441" w:rsidRDefault="003464D8" w:rsidP="003464D8">
            <w:pPr>
              <w:jc w:val="center"/>
            </w:pPr>
            <w:r>
              <w:t>-</w:t>
            </w:r>
          </w:p>
        </w:tc>
      </w:tr>
      <w:tr w:rsidR="003464D8" w:rsidRPr="00534441" w14:paraId="1A1DB093" w14:textId="77777777" w:rsidTr="00C770F4">
        <w:tc>
          <w:tcPr>
            <w:tcW w:w="1705" w:type="pct"/>
          </w:tcPr>
          <w:p w14:paraId="78CCB078" w14:textId="77777777" w:rsidR="003464D8" w:rsidRPr="00534441" w:rsidRDefault="003464D8" w:rsidP="003464D8">
            <w:r>
              <w:t xml:space="preserve">Communaal afvalwater </w:t>
            </w:r>
          </w:p>
        </w:tc>
        <w:tc>
          <w:tcPr>
            <w:tcW w:w="1737" w:type="pct"/>
          </w:tcPr>
          <w:p w14:paraId="5F9AEB58" w14:textId="77777777" w:rsidR="003464D8" w:rsidRPr="00534441" w:rsidRDefault="003464D8" w:rsidP="003464D8">
            <w:pPr>
              <w:jc w:val="center"/>
            </w:pPr>
            <w:r>
              <w:t>0</w:t>
            </w:r>
            <w:r w:rsidRPr="00534441">
              <w:t>.0004/0.0008</w:t>
            </w:r>
            <w:r>
              <w:t xml:space="preserve"> </w:t>
            </w:r>
            <w:r w:rsidR="00EA580D">
              <w:t xml:space="preserve">  </w:t>
            </w:r>
            <w:r>
              <w:t xml:space="preserve"> </w:t>
            </w:r>
            <w:r w:rsidRPr="00534441">
              <w:t>=0</w:t>
            </w:r>
            <w:r>
              <w:t>.</w:t>
            </w:r>
            <w:r w:rsidRPr="00534441">
              <w:t>5</w:t>
            </w:r>
          </w:p>
        </w:tc>
        <w:tc>
          <w:tcPr>
            <w:tcW w:w="1558" w:type="pct"/>
          </w:tcPr>
          <w:p w14:paraId="554383A2" w14:textId="77777777" w:rsidR="003464D8" w:rsidRPr="00534441" w:rsidRDefault="003464D8" w:rsidP="003464D8">
            <w:pPr>
              <w:jc w:val="center"/>
            </w:pPr>
            <w:r>
              <w:t>-</w:t>
            </w:r>
          </w:p>
        </w:tc>
      </w:tr>
    </w:tbl>
    <w:p w14:paraId="124AC1F6" w14:textId="77777777" w:rsidR="00390E92" w:rsidRDefault="00390E92" w:rsidP="00534441">
      <w:pPr>
        <w:spacing w:after="0" w:line="240" w:lineRule="auto"/>
      </w:pPr>
    </w:p>
    <w:p w14:paraId="58FFB722" w14:textId="77777777" w:rsidR="00343ADD" w:rsidRDefault="00056379" w:rsidP="00534441">
      <w:pPr>
        <w:spacing w:after="0" w:line="240" w:lineRule="auto"/>
      </w:pPr>
      <w:r>
        <w:t>Uit tabellen I en II</w:t>
      </w:r>
      <w:r w:rsidR="002407C5">
        <w:t xml:space="preserve"> blijkt dat uit </w:t>
      </w:r>
      <w:r w:rsidR="00835E0A">
        <w:t xml:space="preserve">testgegevens </w:t>
      </w:r>
      <w:r w:rsidR="00177645">
        <w:t xml:space="preserve">(BZV) </w:t>
      </w:r>
      <w:r w:rsidR="00835E0A">
        <w:t xml:space="preserve">en </w:t>
      </w:r>
      <w:r w:rsidR="00A61661">
        <w:t xml:space="preserve">de </w:t>
      </w:r>
      <w:r w:rsidR="00835E0A">
        <w:t xml:space="preserve">theoretische </w:t>
      </w:r>
      <w:r w:rsidR="00A61661">
        <w:t xml:space="preserve">berekende </w:t>
      </w:r>
      <w:r w:rsidR="00177645">
        <w:t xml:space="preserve">ThZV </w:t>
      </w:r>
      <w:r w:rsidR="00A61661">
        <w:t>(</w:t>
      </w:r>
      <w:r w:rsidR="00343ADD">
        <w:t>of een CZV-waarde</w:t>
      </w:r>
      <w:r w:rsidR="00A61661">
        <w:t>)</w:t>
      </w:r>
      <w:r w:rsidR="00343ADD">
        <w:t xml:space="preserve"> </w:t>
      </w:r>
      <w:r w:rsidR="00DA0534">
        <w:t>een</w:t>
      </w:r>
      <w:r w:rsidR="002407C5">
        <w:t xml:space="preserve"> afbreekbaarheidspercentage</w:t>
      </w:r>
      <w:r w:rsidR="00DA0534">
        <w:t xml:space="preserve"> kan worden afgeleid. </w:t>
      </w:r>
      <w:r w:rsidR="0034168A">
        <w:t>Maar lang niet altijd zijn daar eenvoudig gegevens over te vinden.</w:t>
      </w:r>
    </w:p>
    <w:p w14:paraId="6521791A" w14:textId="77777777" w:rsidR="00A61661" w:rsidRDefault="00A61661" w:rsidP="00534441">
      <w:pPr>
        <w:spacing w:after="0" w:line="240" w:lineRule="auto"/>
      </w:pPr>
    </w:p>
    <w:p w14:paraId="502FCDE9" w14:textId="77777777" w:rsidR="00177645" w:rsidRDefault="002028F3" w:rsidP="00534441">
      <w:pPr>
        <w:spacing w:after="0" w:line="240" w:lineRule="auto"/>
      </w:pPr>
      <w:r>
        <w:t>Bij de beschouwde stofgroep 1 (industriële oplosmiddelen)  is het berekende hoge afbraakpercentage in overeenstemming met de positieve RBT uitslag. Bij de andere twee stofgroepen zijn geen RBT gegevens beschikbaar. De afbraakpercentages</w:t>
      </w:r>
      <w:r w:rsidR="00A61661">
        <w:t xml:space="preserve"> zijn voor een deel op basis van expert judgement. </w:t>
      </w:r>
    </w:p>
    <w:p w14:paraId="54FB39F6" w14:textId="77777777" w:rsidR="00A70E28" w:rsidRDefault="00A70E28" w:rsidP="00534441">
      <w:pPr>
        <w:spacing w:after="0" w:line="240" w:lineRule="auto"/>
      </w:pPr>
    </w:p>
    <w:p w14:paraId="44EB75CC" w14:textId="77777777" w:rsidR="00A70E28" w:rsidRDefault="00A70E28" w:rsidP="00A70E28">
      <w:pPr>
        <w:spacing w:after="0" w:line="240" w:lineRule="auto"/>
      </w:pPr>
      <w:r>
        <w:t xml:space="preserve">Stoffen met een positieve RBT test breken snel af. Voor een generieke aanpak wordt aangenomen dat het afbraakpercentage hiervoor 75% van de CZV of ThZV bedraagt. </w:t>
      </w:r>
    </w:p>
    <w:p w14:paraId="1812EE60" w14:textId="77777777" w:rsidR="00A70E28" w:rsidRDefault="00A70E28" w:rsidP="00A70E28">
      <w:pPr>
        <w:spacing w:after="0" w:line="240" w:lineRule="auto"/>
      </w:pPr>
    </w:p>
    <w:p w14:paraId="294F957E" w14:textId="77777777" w:rsidR="00A70E28" w:rsidRPr="00534441" w:rsidRDefault="00A70E28" w:rsidP="00A70E28">
      <w:pPr>
        <w:spacing w:after="0" w:line="240" w:lineRule="auto"/>
      </w:pPr>
      <w:r w:rsidRPr="00534441">
        <w:t>Voor huishoudelijk afvalwater is de CZV/BZV5 verhouding ongeveer 2. Huishoudelijk afvalwater is  als gemak</w:t>
      </w:r>
      <w:r>
        <w:t>kelijk afbreekbaar op te vatten. D</w:t>
      </w:r>
      <w:r w:rsidRPr="00534441">
        <w:t xml:space="preserve">e afbreekbaarheidsfactor voor gemakkelijk afbreekbare stoffen </w:t>
      </w:r>
      <w:r>
        <w:t xml:space="preserve">wordt </w:t>
      </w:r>
      <w:r w:rsidRPr="00534441">
        <w:t>op BZV/T</w:t>
      </w:r>
      <w:r>
        <w:t xml:space="preserve">hZV=0,5 worden gesteld. </w:t>
      </w:r>
    </w:p>
    <w:p w14:paraId="6D26DA96" w14:textId="77777777" w:rsidR="00A70E28" w:rsidRDefault="00A70E28" w:rsidP="00534441">
      <w:pPr>
        <w:spacing w:after="0" w:line="240" w:lineRule="auto"/>
      </w:pPr>
    </w:p>
    <w:p w14:paraId="069CA834" w14:textId="77777777" w:rsidR="00A7754E" w:rsidRDefault="00A7754E" w:rsidP="00A7754E">
      <w:pPr>
        <w:spacing w:after="0" w:line="240" w:lineRule="auto"/>
      </w:pPr>
      <w:r w:rsidRPr="00D737EC">
        <w:rPr>
          <w:u w:val="single"/>
        </w:rPr>
        <w:t>Indeling  in categorieën</w:t>
      </w:r>
    </w:p>
    <w:p w14:paraId="42ED822C" w14:textId="77777777" w:rsidR="00DA0534" w:rsidRDefault="00760174" w:rsidP="00534441">
      <w:pPr>
        <w:spacing w:after="0" w:line="240" w:lineRule="auto"/>
      </w:pPr>
      <w:r>
        <w:t xml:space="preserve">Er wordt </w:t>
      </w:r>
      <w:r w:rsidR="00177645">
        <w:t xml:space="preserve">voor de risicoberekeningen in Proteus </w:t>
      </w:r>
      <w:r>
        <w:t xml:space="preserve">vanuit gegaan dat </w:t>
      </w:r>
      <w:r w:rsidR="00DA0534">
        <w:t xml:space="preserve">een stof </w:t>
      </w:r>
      <w:r>
        <w:t xml:space="preserve">kan </w:t>
      </w:r>
      <w:r w:rsidR="00DA0534">
        <w:t xml:space="preserve">worden ingedeeld in één van de vier </w:t>
      </w:r>
      <w:r w:rsidR="00E738FD">
        <w:t>categorieën</w:t>
      </w:r>
      <w:r w:rsidR="00DA0534">
        <w:t xml:space="preserve">: </w:t>
      </w:r>
    </w:p>
    <w:p w14:paraId="2CA79D10" w14:textId="77777777" w:rsidR="00534441" w:rsidRPr="00534441" w:rsidRDefault="00534441" w:rsidP="00534441">
      <w:pPr>
        <w:numPr>
          <w:ilvl w:val="0"/>
          <w:numId w:val="15"/>
        </w:numPr>
        <w:spacing w:after="0" w:line="240" w:lineRule="auto"/>
      </w:pPr>
      <w:r w:rsidRPr="00534441">
        <w:t>snel afbreekbaar</w:t>
      </w:r>
      <w:r w:rsidR="00177645">
        <w:t xml:space="preserve"> (75% afbraak)</w:t>
      </w:r>
    </w:p>
    <w:p w14:paraId="354148CD" w14:textId="77777777" w:rsidR="00534441" w:rsidRPr="00534441" w:rsidRDefault="00534441" w:rsidP="00534441">
      <w:pPr>
        <w:numPr>
          <w:ilvl w:val="0"/>
          <w:numId w:val="15"/>
        </w:numPr>
        <w:spacing w:after="0" w:line="240" w:lineRule="auto"/>
      </w:pPr>
      <w:r w:rsidRPr="00534441">
        <w:t xml:space="preserve">gemakkelijk afbreekbaar </w:t>
      </w:r>
      <w:r w:rsidR="00177645">
        <w:t>(50% afbraak)</w:t>
      </w:r>
    </w:p>
    <w:p w14:paraId="2492C015" w14:textId="77777777" w:rsidR="00534441" w:rsidRPr="00534441" w:rsidRDefault="00534441" w:rsidP="00534441">
      <w:pPr>
        <w:numPr>
          <w:ilvl w:val="0"/>
          <w:numId w:val="15"/>
        </w:numPr>
        <w:spacing w:after="0" w:line="240" w:lineRule="auto"/>
      </w:pPr>
      <w:r w:rsidRPr="00534441">
        <w:lastRenderedPageBreak/>
        <w:t xml:space="preserve">niet gemakkelijk afbreekbaar </w:t>
      </w:r>
      <w:r w:rsidR="00177645">
        <w:t>(25% afbraak)</w:t>
      </w:r>
    </w:p>
    <w:p w14:paraId="2CDFB6C7" w14:textId="77777777" w:rsidR="00534441" w:rsidRPr="00534441" w:rsidRDefault="00534441" w:rsidP="00534441">
      <w:pPr>
        <w:numPr>
          <w:ilvl w:val="0"/>
          <w:numId w:val="15"/>
        </w:numPr>
        <w:spacing w:after="0" w:line="240" w:lineRule="auto"/>
      </w:pPr>
      <w:r w:rsidRPr="00534441">
        <w:t>slecht afbreekbaar</w:t>
      </w:r>
      <w:r w:rsidR="00177645">
        <w:t xml:space="preserve"> (10% afbraak)</w:t>
      </w:r>
    </w:p>
    <w:p w14:paraId="1D73BF45" w14:textId="77777777" w:rsidR="002407C5" w:rsidRDefault="002407C5" w:rsidP="00534441">
      <w:pPr>
        <w:spacing w:after="0" w:line="240" w:lineRule="auto"/>
      </w:pPr>
    </w:p>
    <w:p w14:paraId="7C7D7EC6" w14:textId="77777777" w:rsidR="002407C5" w:rsidRPr="002407C5" w:rsidRDefault="002407C5" w:rsidP="002407C5">
      <w:pPr>
        <w:spacing w:after="0" w:line="240" w:lineRule="auto"/>
      </w:pPr>
      <w:r w:rsidRPr="002407C5">
        <w:t>Op de ECHA site</w:t>
      </w:r>
      <w:r w:rsidR="00937DD1">
        <w:t xml:space="preserve"> en in MSDS’-en</w:t>
      </w:r>
      <w:r w:rsidRPr="002407C5">
        <w:t xml:space="preserve"> staan de afbreekbaarheids</w:t>
      </w:r>
      <w:r>
        <w:t>percentages</w:t>
      </w:r>
      <w:r w:rsidRPr="002407C5">
        <w:t xml:space="preserve"> of ranges daarvan gegeven. Wanneer </w:t>
      </w:r>
      <w:r w:rsidR="00A61661">
        <w:t>het</w:t>
      </w:r>
      <w:r w:rsidRPr="002407C5">
        <w:t xml:space="preserve"> </w:t>
      </w:r>
      <w:r w:rsidR="00A61661">
        <w:t>afbraakpercentage</w:t>
      </w:r>
      <w:r w:rsidRPr="002407C5">
        <w:t xml:space="preserve"> ontbr</w:t>
      </w:r>
      <w:r w:rsidR="00A61661">
        <w:t>e</w:t>
      </w:r>
      <w:r w:rsidRPr="002407C5">
        <w:t>ek</w:t>
      </w:r>
      <w:r w:rsidR="00A61661">
        <w:t>t</w:t>
      </w:r>
      <w:r w:rsidRPr="002407C5">
        <w:t>, is 75% de te hanteren</w:t>
      </w:r>
      <w:r>
        <w:t xml:space="preserve"> </w:t>
      </w:r>
      <w:r w:rsidR="00056379">
        <w:t xml:space="preserve">als </w:t>
      </w:r>
      <w:r>
        <w:t>worst case schatting en wordt de stof ingedeeld in afbreekbaarheidscategorie 1 (snel afbreekbaar).</w:t>
      </w:r>
      <w:r w:rsidR="00A61661">
        <w:t xml:space="preserve"> </w:t>
      </w:r>
    </w:p>
    <w:p w14:paraId="7575616C" w14:textId="77777777" w:rsidR="002407C5" w:rsidRPr="002407C5" w:rsidRDefault="002407C5" w:rsidP="002407C5">
      <w:pPr>
        <w:spacing w:after="0" w:line="240" w:lineRule="auto"/>
      </w:pPr>
    </w:p>
    <w:p w14:paraId="332750DD" w14:textId="77777777" w:rsidR="002407C5" w:rsidRPr="002407C5" w:rsidRDefault="00B40E50" w:rsidP="002407C5">
      <w:pPr>
        <w:spacing w:after="0" w:line="240" w:lineRule="auto"/>
        <w:rPr>
          <w:u w:val="single"/>
        </w:rPr>
      </w:pPr>
      <w:r>
        <w:rPr>
          <w:u w:val="single"/>
        </w:rPr>
        <w:t>Voorbeeld</w:t>
      </w:r>
      <w:r w:rsidR="002407C5" w:rsidRPr="002407C5">
        <w:rPr>
          <w:u w:val="single"/>
        </w:rPr>
        <w:t xml:space="preserve">: </w:t>
      </w:r>
    </w:p>
    <w:p w14:paraId="06560608" w14:textId="77777777" w:rsidR="002407C5" w:rsidRPr="002407C5" w:rsidRDefault="002407C5" w:rsidP="002407C5">
      <w:pPr>
        <w:spacing w:after="0" w:line="240" w:lineRule="auto"/>
      </w:pPr>
      <w:r w:rsidRPr="002407C5">
        <w:t>De stof ethylbenzeen wordt als RBT aangeduid in ECHA en voldoet aan de definitie van ‘</w:t>
      </w:r>
      <w:proofErr w:type="spellStart"/>
      <w:r w:rsidRPr="002407C5">
        <w:t>readily</w:t>
      </w:r>
      <w:proofErr w:type="spellEnd"/>
      <w:r w:rsidRPr="002407C5">
        <w:t xml:space="preserve"> </w:t>
      </w:r>
      <w:proofErr w:type="spellStart"/>
      <w:r w:rsidRPr="002407C5">
        <w:t>biodegradable</w:t>
      </w:r>
      <w:proofErr w:type="spellEnd"/>
      <w:r w:rsidRPr="002407C5">
        <w:t>’.</w:t>
      </w:r>
      <w:r w:rsidR="00B40E50">
        <w:t xml:space="preserve"> A</w:t>
      </w:r>
      <w:r w:rsidRPr="002407C5">
        <w:t>anvullend is in de database aangegeven dat de afbraak in de CO2-test na 12 dagen 66% is. </w:t>
      </w:r>
      <w:r w:rsidR="00B40E50">
        <w:t xml:space="preserve">Categorie 1 met </w:t>
      </w:r>
      <w:r w:rsidRPr="002407C5">
        <w:t xml:space="preserve">75% afbraak is dan </w:t>
      </w:r>
      <w:r w:rsidR="00B40E50">
        <w:t xml:space="preserve">de te gebruiken afbreekbaarheidscategorie. </w:t>
      </w:r>
    </w:p>
    <w:p w14:paraId="2D3208EB" w14:textId="77777777" w:rsidR="00534441" w:rsidRDefault="00534441" w:rsidP="00D737EC">
      <w:pPr>
        <w:spacing w:after="0" w:line="240" w:lineRule="auto"/>
      </w:pPr>
    </w:p>
    <w:p w14:paraId="738CF90F" w14:textId="77777777" w:rsidR="00FC5C9B" w:rsidRDefault="00FC5C9B" w:rsidP="00D737EC">
      <w:pPr>
        <w:spacing w:after="0" w:line="240" w:lineRule="auto"/>
      </w:pPr>
    </w:p>
    <w:p w14:paraId="023B9E8D" w14:textId="77777777" w:rsidR="00BB7D36" w:rsidRDefault="00BB7D36">
      <w:pPr>
        <w:rPr>
          <w:u w:val="single"/>
        </w:rPr>
      </w:pPr>
    </w:p>
    <w:p w14:paraId="443E427E" w14:textId="77777777" w:rsidR="00BC438D" w:rsidRDefault="00BC438D" w:rsidP="00D737EC">
      <w:pPr>
        <w:spacing w:after="0" w:line="240" w:lineRule="auto"/>
        <w:rPr>
          <w:u w:val="single"/>
        </w:rPr>
      </w:pPr>
    </w:p>
    <w:p w14:paraId="2389A941" w14:textId="77777777" w:rsidR="00BC438D" w:rsidRDefault="00BC438D">
      <w:pPr>
        <w:rPr>
          <w:u w:val="single"/>
        </w:rPr>
      </w:pPr>
      <w:r>
        <w:rPr>
          <w:u w:val="single"/>
        </w:rPr>
        <w:br w:type="page"/>
      </w:r>
    </w:p>
    <w:p w14:paraId="732EE60C" w14:textId="77777777" w:rsidR="00FC5C9B" w:rsidRPr="00732969" w:rsidRDefault="00FC5C9B" w:rsidP="00D737EC">
      <w:pPr>
        <w:spacing w:after="0" w:line="240" w:lineRule="auto"/>
        <w:rPr>
          <w:u w:val="single"/>
        </w:rPr>
      </w:pPr>
      <w:r w:rsidRPr="00732969">
        <w:rPr>
          <w:u w:val="single"/>
        </w:rPr>
        <w:lastRenderedPageBreak/>
        <w:t>Vertalen testresultaten</w:t>
      </w:r>
      <w:r w:rsidR="009767B1">
        <w:rPr>
          <w:u w:val="single"/>
        </w:rPr>
        <w:t xml:space="preserve"> </w:t>
      </w:r>
    </w:p>
    <w:p w14:paraId="693C467B" w14:textId="77777777" w:rsidR="00BB7D36" w:rsidRDefault="00FC5C9B" w:rsidP="00D737EC">
      <w:pPr>
        <w:spacing w:after="0" w:line="240" w:lineRule="auto"/>
      </w:pPr>
      <w:r>
        <w:t xml:space="preserve">RIVM </w:t>
      </w:r>
      <w:r w:rsidR="009767B1">
        <w:t>heeft</w:t>
      </w:r>
      <w:r>
        <w:t xml:space="preserve"> in </w:t>
      </w:r>
      <w:proofErr w:type="spellStart"/>
      <w:r>
        <w:t>Simpletreat</w:t>
      </w:r>
      <w:proofErr w:type="spellEnd"/>
      <w:r>
        <w:t xml:space="preserve"> </w:t>
      </w:r>
      <w:r w:rsidR="00BB7D36">
        <w:t>4.0</w:t>
      </w:r>
      <w:r>
        <w:t xml:space="preserve"> relaties gelegd tussen testresultaten en </w:t>
      </w:r>
      <w:r w:rsidR="00732969">
        <w:t xml:space="preserve">de </w:t>
      </w:r>
      <w:r w:rsidR="00CB1131">
        <w:t xml:space="preserve">te verwachten </w:t>
      </w:r>
      <w:r w:rsidR="00732969">
        <w:t xml:space="preserve">verwijdering van een stof </w:t>
      </w:r>
      <w:r w:rsidR="00BB7D36">
        <w:t>bij lozing op een RWZI. Uitgangspunt is</w:t>
      </w:r>
      <w:r w:rsidR="00BC438D">
        <w:t xml:space="preserve"> de</w:t>
      </w:r>
      <w:r w:rsidR="00BB7D36">
        <w:t xml:space="preserve"> </w:t>
      </w:r>
      <w:r w:rsidR="00732969">
        <w:t>1</w:t>
      </w:r>
      <w:r w:rsidR="00732969" w:rsidRPr="00732969">
        <w:rPr>
          <w:vertAlign w:val="superscript"/>
        </w:rPr>
        <w:t>e</w:t>
      </w:r>
      <w:r w:rsidR="00732969">
        <w:t xml:space="preserve"> orde reactiekinetiek. </w:t>
      </w:r>
      <w:r w:rsidR="00BB7D36">
        <w:t xml:space="preserve">Doel is om de belasting van het milieu door stoffen in kaart te brengen, rekening houdend met de mogelijke verwijdering op de RWZI. </w:t>
      </w:r>
    </w:p>
    <w:p w14:paraId="4868BAB8" w14:textId="77777777" w:rsidR="00BB7D36" w:rsidRDefault="00BB7D36" w:rsidP="00D737EC">
      <w:pPr>
        <w:spacing w:after="0" w:line="240" w:lineRule="auto"/>
      </w:pPr>
    </w:p>
    <w:p w14:paraId="74CFFD1B" w14:textId="77777777" w:rsidR="009767B1" w:rsidRDefault="00732969" w:rsidP="00D737EC">
      <w:pPr>
        <w:spacing w:after="0" w:line="240" w:lineRule="auto"/>
      </w:pPr>
      <w:r>
        <w:t xml:space="preserve">De </w:t>
      </w:r>
      <w:r w:rsidR="00112F41">
        <w:t xml:space="preserve">vertaling van testen naar afbreekbaarheid </w:t>
      </w:r>
      <w:r>
        <w:t xml:space="preserve">in Proteus </w:t>
      </w:r>
      <w:r w:rsidR="00BC438D">
        <w:t xml:space="preserve">is </w:t>
      </w:r>
      <w:r>
        <w:t xml:space="preserve">hier van afgeleid op basis van expert judgement. </w:t>
      </w:r>
      <w:r w:rsidR="00FB1733">
        <w:t xml:space="preserve">In </w:t>
      </w:r>
      <w:proofErr w:type="spellStart"/>
      <w:r w:rsidR="00FB1733">
        <w:t>Simpletreat</w:t>
      </w:r>
      <w:proofErr w:type="spellEnd"/>
      <w:r w:rsidR="00FB1733">
        <w:t xml:space="preserve"> onderkent men een aantal afbraakniveaus, gebaseerd op testresultaten. </w:t>
      </w:r>
    </w:p>
    <w:p w14:paraId="6A2DF3F6" w14:textId="77777777" w:rsidR="009767B1" w:rsidRDefault="009767B1" w:rsidP="00D737EC">
      <w:pPr>
        <w:spacing w:after="0" w:line="240" w:lineRule="auto"/>
      </w:pPr>
    </w:p>
    <w:p w14:paraId="7FF507A5" w14:textId="77777777" w:rsidR="00FB1733" w:rsidRDefault="009767B1" w:rsidP="00D737EC">
      <w:pPr>
        <w:spacing w:after="0" w:line="240" w:lineRule="auto"/>
      </w:pPr>
      <w:r>
        <w:t xml:space="preserve">Er zijn drie niveaus van testen: screeningtesten, actief slib batch testen en simulatietesten. </w:t>
      </w:r>
      <w:r w:rsidR="00FB1733">
        <w:t xml:space="preserve">Er </w:t>
      </w:r>
      <w:r w:rsidR="00112F41">
        <w:t xml:space="preserve">is een </w:t>
      </w:r>
      <w:r w:rsidR="00CB1131">
        <w:t xml:space="preserve">logische </w:t>
      </w:r>
      <w:r w:rsidR="00112F41">
        <w:t>prioriteitsvolgorde ten aanzien van voorrang van testresultaten:</w:t>
      </w:r>
      <w:r>
        <w:t xml:space="preserve"> </w:t>
      </w:r>
      <w:r w:rsidR="00FB1733">
        <w:t>Simulatietest&gt; actiefslib batch test&gt;screeningtest</w:t>
      </w:r>
    </w:p>
    <w:p w14:paraId="763338A1" w14:textId="77777777" w:rsidR="00FB1733" w:rsidRDefault="00FB1733"/>
    <w:p w14:paraId="261063B6" w14:textId="77777777" w:rsidR="009767B1" w:rsidRPr="00BC438D" w:rsidRDefault="009767B1">
      <w:pPr>
        <w:rPr>
          <w:u w:val="single"/>
        </w:rPr>
      </w:pPr>
      <w:r w:rsidRPr="00BC438D">
        <w:rPr>
          <w:u w:val="single"/>
        </w:rPr>
        <w:t>Screeningtesten</w:t>
      </w:r>
    </w:p>
    <w:p w14:paraId="5DCE1442" w14:textId="77777777" w:rsidR="009767B1" w:rsidRPr="009767B1" w:rsidRDefault="009767B1">
      <w:r w:rsidRPr="009767B1">
        <w:t>Over de vertaling van screeningstesten naar snelheid</w:t>
      </w:r>
      <w:r w:rsidR="001F21AD">
        <w:t xml:space="preserve"> (aanbevolen in de TGD in 2003): </w:t>
      </w:r>
    </w:p>
    <w:p w14:paraId="45EC0B55" w14:textId="77777777" w:rsidR="009767B1" w:rsidRPr="009767B1" w:rsidRDefault="001F21AD">
      <w:pPr>
        <w:rPr>
          <w:lang w:val="en-US"/>
        </w:rPr>
      </w:pPr>
      <w:r w:rsidRPr="001F21AD">
        <w:rPr>
          <w:lang w:val="en-US"/>
        </w:rPr>
        <w:t>“</w:t>
      </w:r>
      <w:r w:rsidR="009767B1" w:rsidRPr="009767B1">
        <w:rPr>
          <w:lang w:val="en-US"/>
        </w:rPr>
        <w:t>The levels of biodegradability are “ready biodegradability” (OECD 301 series), with or without fulfilment of the 10-d time window (first order biodegradation rate constant 1 and 0.3 d-1, respectively) and “inherent biodegradability” (OECD 302 series), with or without fulfilling specific criteria (first-order biodegradation rate constant 0.1 and 0 d-1, respectively)</w:t>
      </w:r>
      <w:r>
        <w:rPr>
          <w:lang w:val="en-US"/>
        </w:rPr>
        <w:t>”</w:t>
      </w:r>
      <w:r w:rsidR="009767B1" w:rsidRPr="009767B1">
        <w:rPr>
          <w:lang w:val="en-US"/>
        </w:rPr>
        <w:t>.</w:t>
      </w:r>
      <w:r>
        <w:rPr>
          <w:lang w:val="en-US"/>
        </w:rPr>
        <w:t xml:space="preserve"> </w:t>
      </w:r>
    </w:p>
    <w:p w14:paraId="0B7B902D" w14:textId="77777777" w:rsidR="00FC5C9B" w:rsidRDefault="00FB1733" w:rsidP="00D737EC">
      <w:pPr>
        <w:spacing w:after="0" w:line="240" w:lineRule="auto"/>
      </w:pPr>
      <w:r>
        <w:t xml:space="preserve">In tabel </w:t>
      </w:r>
      <w:proofErr w:type="spellStart"/>
      <w:r>
        <w:t>IIIa</w:t>
      </w:r>
      <w:proofErr w:type="spellEnd"/>
      <w:r>
        <w:t xml:space="preserve">, </w:t>
      </w:r>
      <w:r w:rsidR="001F21AD">
        <w:t>staan de</w:t>
      </w:r>
      <w:r>
        <w:t xml:space="preserve"> relaties tussen testresultaten en afbraakconstanten in Proteus weergegeven.</w:t>
      </w:r>
    </w:p>
    <w:p w14:paraId="1E56CF17" w14:textId="77777777" w:rsidR="00FB1733" w:rsidRDefault="00FB1733" w:rsidP="00D737EC">
      <w:pPr>
        <w:spacing w:after="0" w:line="240" w:lineRule="auto"/>
      </w:pPr>
    </w:p>
    <w:p w14:paraId="03535670" w14:textId="77777777" w:rsidR="00FB1733" w:rsidRDefault="00FB1733" w:rsidP="00D737EC">
      <w:pPr>
        <w:spacing w:after="0" w:line="240" w:lineRule="auto"/>
      </w:pPr>
      <w:r>
        <w:t>III</w:t>
      </w:r>
      <w:r w:rsidR="00B14C74">
        <w:t xml:space="preserve"> A</w:t>
      </w:r>
      <w:r>
        <w:t xml:space="preserve"> Screeningtest</w:t>
      </w:r>
      <w:r w:rsidR="00CB1131">
        <w:t xml:space="preserve"> (aanname: 1</w:t>
      </w:r>
      <w:r w:rsidR="00CB1131" w:rsidRPr="00CB1131">
        <w:rPr>
          <w:vertAlign w:val="superscript"/>
        </w:rPr>
        <w:t>e</w:t>
      </w:r>
      <w:r w:rsidR="00CB1131">
        <w:t xml:space="preserve"> orde reactie, afbraak alleen in oplossing)</w:t>
      </w:r>
    </w:p>
    <w:tbl>
      <w:tblPr>
        <w:tblStyle w:val="Tabelraster"/>
        <w:tblW w:w="5000" w:type="pct"/>
        <w:tblLook w:val="04A0" w:firstRow="1" w:lastRow="0" w:firstColumn="1" w:lastColumn="0" w:noHBand="0" w:noVBand="1"/>
      </w:tblPr>
      <w:tblGrid>
        <w:gridCol w:w="2192"/>
        <w:gridCol w:w="2187"/>
        <w:gridCol w:w="2303"/>
        <w:gridCol w:w="2334"/>
      </w:tblGrid>
      <w:tr w:rsidR="009767B1" w14:paraId="709CDA9E" w14:textId="77777777" w:rsidTr="009767B1">
        <w:tc>
          <w:tcPr>
            <w:tcW w:w="1216" w:type="pct"/>
          </w:tcPr>
          <w:p w14:paraId="2F27B931" w14:textId="77777777" w:rsidR="009767B1" w:rsidRDefault="009767B1" w:rsidP="00D737EC">
            <w:r>
              <w:t>Test</w:t>
            </w:r>
          </w:p>
        </w:tc>
        <w:tc>
          <w:tcPr>
            <w:tcW w:w="1213" w:type="pct"/>
          </w:tcPr>
          <w:p w14:paraId="21F8509E" w14:textId="77777777" w:rsidR="009767B1" w:rsidRDefault="009767B1" w:rsidP="00BB7D36">
            <w:pPr>
              <w:jc w:val="center"/>
            </w:pPr>
            <w:r>
              <w:t>OECD TEST</w:t>
            </w:r>
          </w:p>
        </w:tc>
        <w:tc>
          <w:tcPr>
            <w:tcW w:w="1277" w:type="pct"/>
          </w:tcPr>
          <w:p w14:paraId="4E397046" w14:textId="77777777" w:rsidR="009767B1" w:rsidRDefault="009767B1" w:rsidP="009767B1">
            <w:pPr>
              <w:jc w:val="center"/>
            </w:pPr>
            <w:r>
              <w:t>Snelheidsconstante</w:t>
            </w:r>
          </w:p>
          <w:p w14:paraId="0C951416" w14:textId="77777777" w:rsidR="009767B1" w:rsidRDefault="009767B1" w:rsidP="009767B1">
            <w:pPr>
              <w:jc w:val="center"/>
            </w:pPr>
            <w:r>
              <w:t>1</w:t>
            </w:r>
            <w:r>
              <w:rPr>
                <w:vertAlign w:val="superscript"/>
              </w:rPr>
              <w:t xml:space="preserve">e </w:t>
            </w:r>
            <w:r>
              <w:t xml:space="preserve">orde afbraakreactie (ln2 / t </w:t>
            </w:r>
            <w:r>
              <w:rPr>
                <w:vertAlign w:val="subscript"/>
              </w:rPr>
              <w:t>½</w:t>
            </w:r>
            <w:r>
              <w:t xml:space="preserve"> )</w:t>
            </w:r>
          </w:p>
        </w:tc>
        <w:tc>
          <w:tcPr>
            <w:tcW w:w="1294" w:type="pct"/>
          </w:tcPr>
          <w:p w14:paraId="4E303D9F" w14:textId="77777777" w:rsidR="009767B1" w:rsidRDefault="009767B1" w:rsidP="00B14C74">
            <w:pPr>
              <w:jc w:val="center"/>
            </w:pPr>
            <w:r>
              <w:t>Afbreekbaarheidsfactor</w:t>
            </w:r>
          </w:p>
          <w:p w14:paraId="2BB8EE5B" w14:textId="77777777" w:rsidR="009767B1" w:rsidRDefault="009767B1" w:rsidP="00B14C74">
            <w:pPr>
              <w:jc w:val="center"/>
            </w:pPr>
            <w:r>
              <w:t>Proteus</w:t>
            </w:r>
          </w:p>
        </w:tc>
      </w:tr>
      <w:tr w:rsidR="009767B1" w14:paraId="4489AEBA" w14:textId="77777777" w:rsidTr="009767B1">
        <w:tc>
          <w:tcPr>
            <w:tcW w:w="1216" w:type="pct"/>
          </w:tcPr>
          <w:p w14:paraId="4C7BDD21" w14:textId="77777777" w:rsidR="009767B1" w:rsidRDefault="009767B1" w:rsidP="00D737EC">
            <w:r>
              <w:t>RBT, voldoet aan afbraak in 10 dagen</w:t>
            </w:r>
          </w:p>
        </w:tc>
        <w:tc>
          <w:tcPr>
            <w:tcW w:w="1213" w:type="pct"/>
          </w:tcPr>
          <w:p w14:paraId="46DF0D09" w14:textId="77777777" w:rsidR="009767B1" w:rsidRDefault="009767B1" w:rsidP="00BB7D36">
            <w:pPr>
              <w:jc w:val="center"/>
            </w:pPr>
            <w:r>
              <w:t>OECD 301/OECD 310</w:t>
            </w:r>
          </w:p>
        </w:tc>
        <w:tc>
          <w:tcPr>
            <w:tcW w:w="1277" w:type="pct"/>
          </w:tcPr>
          <w:p w14:paraId="7603E822" w14:textId="77777777" w:rsidR="009767B1" w:rsidRDefault="001F21AD" w:rsidP="00B14C74">
            <w:pPr>
              <w:jc w:val="center"/>
            </w:pPr>
            <w:r>
              <w:t>1</w:t>
            </w:r>
          </w:p>
        </w:tc>
        <w:tc>
          <w:tcPr>
            <w:tcW w:w="1294" w:type="pct"/>
          </w:tcPr>
          <w:p w14:paraId="0EED66B4" w14:textId="77777777" w:rsidR="009767B1" w:rsidRDefault="009767B1" w:rsidP="00B14C74">
            <w:pPr>
              <w:jc w:val="center"/>
            </w:pPr>
            <w:r>
              <w:t>0,75</w:t>
            </w:r>
          </w:p>
        </w:tc>
      </w:tr>
      <w:tr w:rsidR="009767B1" w14:paraId="748D0F93" w14:textId="77777777" w:rsidTr="009767B1">
        <w:tc>
          <w:tcPr>
            <w:tcW w:w="1216" w:type="pct"/>
          </w:tcPr>
          <w:p w14:paraId="7100FD45" w14:textId="77777777" w:rsidR="009767B1" w:rsidRDefault="009767B1" w:rsidP="00D737EC">
            <w:r>
              <w:t>RBT, voldoet niet aan afbraak in 10 dagen</w:t>
            </w:r>
          </w:p>
        </w:tc>
        <w:tc>
          <w:tcPr>
            <w:tcW w:w="1213" w:type="pct"/>
          </w:tcPr>
          <w:p w14:paraId="4E0128E4" w14:textId="77777777" w:rsidR="009767B1" w:rsidRDefault="009767B1" w:rsidP="00BB7D36">
            <w:pPr>
              <w:jc w:val="center"/>
            </w:pPr>
            <w:r>
              <w:t>OECD 301/OECD 310</w:t>
            </w:r>
          </w:p>
        </w:tc>
        <w:tc>
          <w:tcPr>
            <w:tcW w:w="1277" w:type="pct"/>
          </w:tcPr>
          <w:p w14:paraId="1D8A912A" w14:textId="77777777" w:rsidR="009767B1" w:rsidRDefault="001F21AD" w:rsidP="00B14C74">
            <w:pPr>
              <w:jc w:val="center"/>
            </w:pPr>
            <w:r>
              <w:t>0,3</w:t>
            </w:r>
          </w:p>
        </w:tc>
        <w:tc>
          <w:tcPr>
            <w:tcW w:w="1294" w:type="pct"/>
          </w:tcPr>
          <w:p w14:paraId="67EFC608" w14:textId="77777777" w:rsidR="009767B1" w:rsidRDefault="009767B1" w:rsidP="00B14C74">
            <w:pPr>
              <w:jc w:val="center"/>
            </w:pPr>
            <w:r>
              <w:t>0,50</w:t>
            </w:r>
          </w:p>
        </w:tc>
      </w:tr>
      <w:tr w:rsidR="009767B1" w14:paraId="57E8C3A2" w14:textId="77777777" w:rsidTr="009767B1">
        <w:tc>
          <w:tcPr>
            <w:tcW w:w="1216" w:type="pct"/>
          </w:tcPr>
          <w:p w14:paraId="629B5F1B" w14:textId="77777777" w:rsidR="009767B1" w:rsidRDefault="009767B1" w:rsidP="00FB1733">
            <w:r>
              <w:t>IBT, voldoet aan afbraak in 10 dagen</w:t>
            </w:r>
          </w:p>
        </w:tc>
        <w:tc>
          <w:tcPr>
            <w:tcW w:w="1213" w:type="pct"/>
          </w:tcPr>
          <w:p w14:paraId="7D9C6D71" w14:textId="77777777" w:rsidR="009767B1" w:rsidRDefault="009767B1" w:rsidP="00BB7D36">
            <w:pPr>
              <w:jc w:val="center"/>
            </w:pPr>
            <w:r>
              <w:t>OECD 302</w:t>
            </w:r>
          </w:p>
        </w:tc>
        <w:tc>
          <w:tcPr>
            <w:tcW w:w="1277" w:type="pct"/>
          </w:tcPr>
          <w:p w14:paraId="751F71B2" w14:textId="77777777" w:rsidR="009767B1" w:rsidRDefault="001F21AD" w:rsidP="00B14C74">
            <w:pPr>
              <w:jc w:val="center"/>
            </w:pPr>
            <w:r>
              <w:t>0,1</w:t>
            </w:r>
          </w:p>
        </w:tc>
        <w:tc>
          <w:tcPr>
            <w:tcW w:w="1294" w:type="pct"/>
          </w:tcPr>
          <w:p w14:paraId="5259BE5C" w14:textId="77777777" w:rsidR="009767B1" w:rsidRDefault="009767B1" w:rsidP="00B14C74">
            <w:pPr>
              <w:jc w:val="center"/>
            </w:pPr>
            <w:r>
              <w:t>0,25</w:t>
            </w:r>
          </w:p>
        </w:tc>
      </w:tr>
      <w:tr w:rsidR="009767B1" w14:paraId="3733DB1A" w14:textId="77777777" w:rsidTr="009767B1">
        <w:tc>
          <w:tcPr>
            <w:tcW w:w="1216" w:type="pct"/>
          </w:tcPr>
          <w:p w14:paraId="17A6137E" w14:textId="77777777" w:rsidR="009767B1" w:rsidRDefault="009767B1" w:rsidP="00FB1733">
            <w:r>
              <w:t>IBT, voldoet niet aan afbraak in 10 dagen</w:t>
            </w:r>
          </w:p>
        </w:tc>
        <w:tc>
          <w:tcPr>
            <w:tcW w:w="1213" w:type="pct"/>
          </w:tcPr>
          <w:p w14:paraId="594682FE" w14:textId="77777777" w:rsidR="009767B1" w:rsidRDefault="009767B1" w:rsidP="00BB7D36">
            <w:pPr>
              <w:jc w:val="center"/>
            </w:pPr>
            <w:r>
              <w:t>OECD 302</w:t>
            </w:r>
          </w:p>
        </w:tc>
        <w:tc>
          <w:tcPr>
            <w:tcW w:w="1277" w:type="pct"/>
          </w:tcPr>
          <w:p w14:paraId="011C2949" w14:textId="77777777" w:rsidR="009767B1" w:rsidRDefault="001F21AD" w:rsidP="00B14C74">
            <w:pPr>
              <w:jc w:val="center"/>
            </w:pPr>
            <w:r>
              <w:t>0</w:t>
            </w:r>
          </w:p>
        </w:tc>
        <w:tc>
          <w:tcPr>
            <w:tcW w:w="1294" w:type="pct"/>
          </w:tcPr>
          <w:p w14:paraId="30689549" w14:textId="77777777" w:rsidR="009767B1" w:rsidRDefault="009767B1" w:rsidP="00B14C74">
            <w:pPr>
              <w:jc w:val="center"/>
            </w:pPr>
            <w:r>
              <w:t>0,1</w:t>
            </w:r>
          </w:p>
        </w:tc>
      </w:tr>
      <w:tr w:rsidR="009767B1" w14:paraId="5C3CD66D" w14:textId="77777777" w:rsidTr="009767B1">
        <w:tc>
          <w:tcPr>
            <w:tcW w:w="1216" w:type="pct"/>
          </w:tcPr>
          <w:p w14:paraId="5B6941A8" w14:textId="77777777" w:rsidR="009767B1" w:rsidRDefault="009767B1" w:rsidP="00D737EC">
            <w:r>
              <w:t>Niet afbreekbaar</w:t>
            </w:r>
          </w:p>
        </w:tc>
        <w:tc>
          <w:tcPr>
            <w:tcW w:w="1213" w:type="pct"/>
          </w:tcPr>
          <w:p w14:paraId="7008BE05" w14:textId="77777777" w:rsidR="009767B1" w:rsidRDefault="009767B1" w:rsidP="00BB7D36">
            <w:pPr>
              <w:jc w:val="center"/>
            </w:pPr>
          </w:p>
        </w:tc>
        <w:tc>
          <w:tcPr>
            <w:tcW w:w="1277" w:type="pct"/>
          </w:tcPr>
          <w:p w14:paraId="1A6EA68D" w14:textId="77777777" w:rsidR="009767B1" w:rsidRDefault="001F21AD" w:rsidP="00B14C74">
            <w:pPr>
              <w:jc w:val="center"/>
            </w:pPr>
            <w:r>
              <w:t>0</w:t>
            </w:r>
          </w:p>
        </w:tc>
        <w:tc>
          <w:tcPr>
            <w:tcW w:w="1294" w:type="pct"/>
          </w:tcPr>
          <w:p w14:paraId="21F835E2" w14:textId="77777777" w:rsidR="009767B1" w:rsidRDefault="009767B1" w:rsidP="00B14C74">
            <w:pPr>
              <w:jc w:val="center"/>
            </w:pPr>
            <w:r>
              <w:t>0</w:t>
            </w:r>
          </w:p>
          <w:p w14:paraId="4A37DD97" w14:textId="77777777" w:rsidR="009767B1" w:rsidRDefault="009767B1" w:rsidP="00B14C74">
            <w:pPr>
              <w:jc w:val="center"/>
            </w:pPr>
          </w:p>
        </w:tc>
      </w:tr>
    </w:tbl>
    <w:p w14:paraId="24FAF502" w14:textId="77777777" w:rsidR="00FB1733" w:rsidRDefault="00FB1733" w:rsidP="00D737EC">
      <w:pPr>
        <w:spacing w:after="0" w:line="240" w:lineRule="auto"/>
      </w:pPr>
    </w:p>
    <w:p w14:paraId="4A96064C" w14:textId="77777777" w:rsidR="00B14C74" w:rsidRPr="00BC438D" w:rsidRDefault="00BC438D" w:rsidP="00D737EC">
      <w:pPr>
        <w:spacing w:after="0" w:line="240" w:lineRule="auto"/>
        <w:rPr>
          <w:u w:val="single"/>
        </w:rPr>
      </w:pPr>
      <w:r w:rsidRPr="00BC438D">
        <w:rPr>
          <w:u w:val="single"/>
        </w:rPr>
        <w:lastRenderedPageBreak/>
        <w:t>Actiefslib batch testen</w:t>
      </w:r>
    </w:p>
    <w:p w14:paraId="787C70C4" w14:textId="77777777" w:rsidR="00BC438D" w:rsidRPr="00BC438D" w:rsidRDefault="00BC438D" w:rsidP="00D737EC">
      <w:pPr>
        <w:spacing w:after="0" w:line="240" w:lineRule="auto"/>
        <w:rPr>
          <w:lang w:val="en-US"/>
        </w:rPr>
      </w:pPr>
    </w:p>
    <w:p w14:paraId="58FF0344" w14:textId="77777777" w:rsidR="00BC438D" w:rsidRPr="00BC438D" w:rsidRDefault="00BC438D" w:rsidP="00D737EC">
      <w:pPr>
        <w:spacing w:after="0" w:line="240" w:lineRule="auto"/>
      </w:pPr>
      <w:r w:rsidRPr="00BC438D">
        <w:t xml:space="preserve">Aanname: afbraak volgens 1e orde kinetiek </w:t>
      </w:r>
      <w:r>
        <w:t>betrokken op de concentratie in de slibfase.</w:t>
      </w:r>
    </w:p>
    <w:p w14:paraId="4A2D2F7A" w14:textId="77777777" w:rsidR="00BC438D" w:rsidRPr="00BC438D" w:rsidRDefault="00BC438D" w:rsidP="00D737EC">
      <w:pPr>
        <w:spacing w:after="0" w:line="240" w:lineRule="auto"/>
      </w:pPr>
    </w:p>
    <w:p w14:paraId="42834B1D" w14:textId="77777777" w:rsidR="00B14C74" w:rsidRPr="00CB1131" w:rsidRDefault="00B14C74" w:rsidP="00D737EC">
      <w:pPr>
        <w:spacing w:after="0" w:line="240" w:lineRule="auto"/>
      </w:pPr>
      <w:r w:rsidRPr="00CB1131">
        <w:t>III B Actiefslib batch test OECD 314 B</w:t>
      </w:r>
      <w:r w:rsidR="00CB1131" w:rsidRPr="00CB1131">
        <w:t xml:space="preserve"> (afbraak in oplossing en geadsorbeerd aan slib)</w:t>
      </w:r>
    </w:p>
    <w:tbl>
      <w:tblPr>
        <w:tblStyle w:val="Tabelraster"/>
        <w:tblW w:w="5000" w:type="pct"/>
        <w:tblLook w:val="04A0" w:firstRow="1" w:lastRow="0" w:firstColumn="1" w:lastColumn="0" w:noHBand="0" w:noVBand="1"/>
      </w:tblPr>
      <w:tblGrid>
        <w:gridCol w:w="4425"/>
        <w:gridCol w:w="4591"/>
      </w:tblGrid>
      <w:tr w:rsidR="00BB7D36" w14:paraId="33C6DB8D" w14:textId="77777777" w:rsidTr="00BB7D36">
        <w:tc>
          <w:tcPr>
            <w:tcW w:w="2454" w:type="pct"/>
          </w:tcPr>
          <w:p w14:paraId="41E571AD" w14:textId="77777777" w:rsidR="00BB7D36" w:rsidRDefault="00BB7D36" w:rsidP="00BB7D36">
            <w:pPr>
              <w:jc w:val="center"/>
            </w:pPr>
            <w:r>
              <w:t>Snelheidsconstante</w:t>
            </w:r>
          </w:p>
          <w:p w14:paraId="1A46C108" w14:textId="77777777" w:rsidR="00BB7D36" w:rsidRDefault="00BB7D36" w:rsidP="00BB7D36">
            <w:pPr>
              <w:jc w:val="center"/>
            </w:pPr>
            <w:r>
              <w:t>1</w:t>
            </w:r>
            <w:r>
              <w:rPr>
                <w:vertAlign w:val="superscript"/>
              </w:rPr>
              <w:t xml:space="preserve">e </w:t>
            </w:r>
            <w:r>
              <w:t>orde afbraakreactie</w:t>
            </w:r>
            <w:r w:rsidR="00112F41">
              <w:t xml:space="preserve"> (ln2 / t </w:t>
            </w:r>
            <w:r w:rsidR="00112F41">
              <w:rPr>
                <w:vertAlign w:val="subscript"/>
              </w:rPr>
              <w:t>½</w:t>
            </w:r>
            <w:r w:rsidR="00112F41">
              <w:t xml:space="preserve"> )</w:t>
            </w:r>
          </w:p>
        </w:tc>
        <w:tc>
          <w:tcPr>
            <w:tcW w:w="2546" w:type="pct"/>
          </w:tcPr>
          <w:p w14:paraId="276818D0" w14:textId="77777777" w:rsidR="00BB7D36" w:rsidRDefault="00BB7D36" w:rsidP="00BB7D36">
            <w:pPr>
              <w:jc w:val="center"/>
            </w:pPr>
            <w:r>
              <w:t>Afbreekbaarheidsfactor</w:t>
            </w:r>
          </w:p>
          <w:p w14:paraId="5F8CB349" w14:textId="77777777" w:rsidR="00BB7D36" w:rsidRDefault="00BB7D36" w:rsidP="00BB7D36">
            <w:pPr>
              <w:jc w:val="center"/>
            </w:pPr>
            <w:r>
              <w:t>Proteus</w:t>
            </w:r>
          </w:p>
        </w:tc>
      </w:tr>
      <w:tr w:rsidR="00BB7D36" w14:paraId="4BFDCE0C" w14:textId="77777777" w:rsidTr="00BB7D36">
        <w:tc>
          <w:tcPr>
            <w:tcW w:w="2454" w:type="pct"/>
          </w:tcPr>
          <w:p w14:paraId="6EE17681" w14:textId="77777777" w:rsidR="00BB7D36" w:rsidRDefault="00BB7D36" w:rsidP="00BB7D36">
            <w:pPr>
              <w:jc w:val="center"/>
            </w:pPr>
            <w:r>
              <w:t>1</w:t>
            </w:r>
          </w:p>
        </w:tc>
        <w:tc>
          <w:tcPr>
            <w:tcW w:w="2546" w:type="pct"/>
          </w:tcPr>
          <w:p w14:paraId="5A8C1B3D" w14:textId="77777777" w:rsidR="00BB7D36" w:rsidRDefault="00BB7D36" w:rsidP="00BB7D36">
            <w:pPr>
              <w:jc w:val="center"/>
            </w:pPr>
            <w:r>
              <w:t>0,75</w:t>
            </w:r>
          </w:p>
        </w:tc>
      </w:tr>
      <w:tr w:rsidR="00BB7D36" w14:paraId="3F769F70" w14:textId="77777777" w:rsidTr="00BB7D36">
        <w:tc>
          <w:tcPr>
            <w:tcW w:w="2454" w:type="pct"/>
          </w:tcPr>
          <w:p w14:paraId="62D688DC" w14:textId="77777777" w:rsidR="00BB7D36" w:rsidRDefault="00BB7D36" w:rsidP="00BB7D36">
            <w:pPr>
              <w:jc w:val="center"/>
            </w:pPr>
            <w:r>
              <w:t>0,3</w:t>
            </w:r>
          </w:p>
        </w:tc>
        <w:tc>
          <w:tcPr>
            <w:tcW w:w="2546" w:type="pct"/>
          </w:tcPr>
          <w:p w14:paraId="5B4D4C57" w14:textId="77777777" w:rsidR="00BB7D36" w:rsidRDefault="00BB7D36" w:rsidP="00BB7D36">
            <w:pPr>
              <w:jc w:val="center"/>
            </w:pPr>
            <w:r>
              <w:t>0,50</w:t>
            </w:r>
          </w:p>
        </w:tc>
      </w:tr>
      <w:tr w:rsidR="00BB7D36" w14:paraId="0A4E8F69" w14:textId="77777777" w:rsidTr="00BB7D36">
        <w:tc>
          <w:tcPr>
            <w:tcW w:w="2454" w:type="pct"/>
          </w:tcPr>
          <w:p w14:paraId="44CF72DD" w14:textId="77777777" w:rsidR="00BB7D36" w:rsidRDefault="00BB7D36" w:rsidP="00BB7D36">
            <w:pPr>
              <w:jc w:val="center"/>
            </w:pPr>
            <w:r>
              <w:t>0,1</w:t>
            </w:r>
          </w:p>
        </w:tc>
        <w:tc>
          <w:tcPr>
            <w:tcW w:w="2546" w:type="pct"/>
          </w:tcPr>
          <w:p w14:paraId="657666B1" w14:textId="77777777" w:rsidR="00BB7D36" w:rsidRDefault="00BB7D36" w:rsidP="00BB7D36">
            <w:pPr>
              <w:jc w:val="center"/>
            </w:pPr>
            <w:r>
              <w:t>0,25</w:t>
            </w:r>
          </w:p>
        </w:tc>
      </w:tr>
      <w:tr w:rsidR="00BB7D36" w14:paraId="7FC89C55" w14:textId="77777777" w:rsidTr="00BB7D36">
        <w:tc>
          <w:tcPr>
            <w:tcW w:w="2454" w:type="pct"/>
          </w:tcPr>
          <w:p w14:paraId="02E07355" w14:textId="77777777" w:rsidR="00BB7D36" w:rsidRDefault="00112F41" w:rsidP="00BB7D36">
            <w:pPr>
              <w:jc w:val="center"/>
            </w:pPr>
            <w:r>
              <w:t>0,</w:t>
            </w:r>
            <w:r w:rsidR="00BB7D36">
              <w:t>03</w:t>
            </w:r>
          </w:p>
        </w:tc>
        <w:tc>
          <w:tcPr>
            <w:tcW w:w="2546" w:type="pct"/>
          </w:tcPr>
          <w:p w14:paraId="77B54297" w14:textId="77777777" w:rsidR="00BB7D36" w:rsidRDefault="00BB7D36" w:rsidP="00BB7D36">
            <w:pPr>
              <w:jc w:val="center"/>
            </w:pPr>
            <w:r>
              <w:t>0,1</w:t>
            </w:r>
          </w:p>
        </w:tc>
      </w:tr>
    </w:tbl>
    <w:p w14:paraId="4E225500" w14:textId="77777777" w:rsidR="00B14C74" w:rsidRDefault="00B14C74" w:rsidP="00D737EC">
      <w:pPr>
        <w:spacing w:after="0" w:line="240" w:lineRule="auto"/>
      </w:pPr>
    </w:p>
    <w:p w14:paraId="1623BF0A" w14:textId="77777777" w:rsidR="00B14C74" w:rsidRDefault="00B14C74" w:rsidP="00D737EC">
      <w:pPr>
        <w:spacing w:after="0" w:line="240" w:lineRule="auto"/>
      </w:pPr>
    </w:p>
    <w:p w14:paraId="74649488" w14:textId="77777777" w:rsidR="00BC438D" w:rsidRDefault="00BC438D" w:rsidP="00D737EC">
      <w:pPr>
        <w:spacing w:after="0" w:line="240" w:lineRule="auto"/>
      </w:pPr>
    </w:p>
    <w:p w14:paraId="51A3248F" w14:textId="77777777" w:rsidR="00BC438D" w:rsidRPr="00BC438D" w:rsidRDefault="00BC438D" w:rsidP="00D737EC">
      <w:pPr>
        <w:spacing w:after="0" w:line="240" w:lineRule="auto"/>
        <w:rPr>
          <w:u w:val="single"/>
        </w:rPr>
      </w:pPr>
      <w:r w:rsidRPr="00BC438D">
        <w:rPr>
          <w:u w:val="single"/>
        </w:rPr>
        <w:t>Actiefslib simulatietest</w:t>
      </w:r>
    </w:p>
    <w:p w14:paraId="7ABE653A" w14:textId="77777777" w:rsidR="00BC438D" w:rsidRDefault="00BC438D" w:rsidP="00D737EC">
      <w:pPr>
        <w:spacing w:after="0" w:line="240" w:lineRule="auto"/>
      </w:pPr>
    </w:p>
    <w:p w14:paraId="753E55C2" w14:textId="77777777" w:rsidR="00BC438D" w:rsidRDefault="00BC438D" w:rsidP="00D737EC">
      <w:pPr>
        <w:spacing w:after="0" w:line="240" w:lineRule="auto"/>
      </w:pPr>
    </w:p>
    <w:p w14:paraId="736CDEB2" w14:textId="77777777" w:rsidR="00B14C74" w:rsidRDefault="00B14C74" w:rsidP="00D737EC">
      <w:pPr>
        <w:spacing w:after="0" w:line="240" w:lineRule="auto"/>
      </w:pPr>
      <w:r>
        <w:t>III C  Actiefslib simulatietest OECD 303 A</w:t>
      </w:r>
      <w:r w:rsidR="00CB1131">
        <w:t xml:space="preserve"> (1</w:t>
      </w:r>
      <w:r w:rsidR="00CB1131" w:rsidRPr="00CB1131">
        <w:rPr>
          <w:vertAlign w:val="superscript"/>
        </w:rPr>
        <w:t>e</w:t>
      </w:r>
      <w:r w:rsidR="00CB1131">
        <w:t xml:space="preserve"> orde afbraak in oplossing)</w:t>
      </w:r>
    </w:p>
    <w:tbl>
      <w:tblPr>
        <w:tblStyle w:val="Tabelraster"/>
        <w:tblW w:w="5000" w:type="pct"/>
        <w:tblLook w:val="04A0" w:firstRow="1" w:lastRow="0" w:firstColumn="1" w:lastColumn="0" w:noHBand="0" w:noVBand="1"/>
      </w:tblPr>
      <w:tblGrid>
        <w:gridCol w:w="3146"/>
        <w:gridCol w:w="2880"/>
        <w:gridCol w:w="2990"/>
      </w:tblGrid>
      <w:tr w:rsidR="00BB7D36" w14:paraId="45BBF70C" w14:textId="77777777" w:rsidTr="00BB7D36">
        <w:tc>
          <w:tcPr>
            <w:tcW w:w="1745" w:type="pct"/>
          </w:tcPr>
          <w:p w14:paraId="32A8502C" w14:textId="77777777" w:rsidR="00BB7D36" w:rsidRDefault="00BB7D36" w:rsidP="00BB7D36">
            <w:pPr>
              <w:jc w:val="center"/>
            </w:pPr>
            <w:r>
              <w:t>Verwijderingspercentage in OECD 303 A</w:t>
            </w:r>
          </w:p>
        </w:tc>
        <w:tc>
          <w:tcPr>
            <w:tcW w:w="1597" w:type="pct"/>
          </w:tcPr>
          <w:p w14:paraId="7E18650C" w14:textId="77777777" w:rsidR="00BB7D36" w:rsidRDefault="00BB7D36" w:rsidP="00BB7D36">
            <w:pPr>
              <w:jc w:val="center"/>
            </w:pPr>
            <w:r>
              <w:t>Snelheidsconstante</w:t>
            </w:r>
          </w:p>
          <w:p w14:paraId="08E97EFD" w14:textId="77777777" w:rsidR="00BB7D36" w:rsidRDefault="00BB7D36" w:rsidP="00BB7D36">
            <w:pPr>
              <w:jc w:val="center"/>
            </w:pPr>
            <w:r>
              <w:t>1</w:t>
            </w:r>
            <w:r>
              <w:rPr>
                <w:vertAlign w:val="superscript"/>
              </w:rPr>
              <w:t xml:space="preserve">e </w:t>
            </w:r>
            <w:r>
              <w:t>orde afbraakreactie</w:t>
            </w:r>
          </w:p>
        </w:tc>
        <w:tc>
          <w:tcPr>
            <w:tcW w:w="1658" w:type="pct"/>
          </w:tcPr>
          <w:p w14:paraId="00B96CAE" w14:textId="77777777" w:rsidR="00BB7D36" w:rsidRDefault="00BB7D36" w:rsidP="00BB7D36">
            <w:pPr>
              <w:jc w:val="center"/>
            </w:pPr>
            <w:r>
              <w:t>Afbreekbaarheidsfactor</w:t>
            </w:r>
          </w:p>
          <w:p w14:paraId="648B0E99" w14:textId="77777777" w:rsidR="00BB7D36" w:rsidRDefault="00BB7D36" w:rsidP="00BB7D36">
            <w:pPr>
              <w:jc w:val="center"/>
            </w:pPr>
            <w:r>
              <w:t>Proteus</w:t>
            </w:r>
          </w:p>
        </w:tc>
      </w:tr>
      <w:tr w:rsidR="00BB7D36" w14:paraId="7BC62F29" w14:textId="77777777" w:rsidTr="00BB7D36">
        <w:tc>
          <w:tcPr>
            <w:tcW w:w="1745" w:type="pct"/>
          </w:tcPr>
          <w:p w14:paraId="57016924" w14:textId="77777777" w:rsidR="00BB7D36" w:rsidRDefault="00BB7D36" w:rsidP="00BB7D36">
            <w:pPr>
              <w:jc w:val="center"/>
            </w:pPr>
            <w:r>
              <w:t>95-100</w:t>
            </w:r>
          </w:p>
        </w:tc>
        <w:tc>
          <w:tcPr>
            <w:tcW w:w="1597" w:type="pct"/>
          </w:tcPr>
          <w:p w14:paraId="6C2B657D" w14:textId="77777777" w:rsidR="00BB7D36" w:rsidRDefault="00BB7D36" w:rsidP="00BB7D36">
            <w:pPr>
              <w:jc w:val="center"/>
            </w:pPr>
            <w:r>
              <w:t>3</w:t>
            </w:r>
          </w:p>
        </w:tc>
        <w:tc>
          <w:tcPr>
            <w:tcW w:w="1658" w:type="pct"/>
          </w:tcPr>
          <w:p w14:paraId="57E15D53" w14:textId="77777777" w:rsidR="00BB7D36" w:rsidRDefault="00BB7D36" w:rsidP="00BB7D36">
            <w:pPr>
              <w:jc w:val="center"/>
            </w:pPr>
            <w:r>
              <w:t>0,75</w:t>
            </w:r>
          </w:p>
        </w:tc>
      </w:tr>
      <w:tr w:rsidR="00BB7D36" w14:paraId="263A0876" w14:textId="77777777" w:rsidTr="00BB7D36">
        <w:tc>
          <w:tcPr>
            <w:tcW w:w="1745" w:type="pct"/>
          </w:tcPr>
          <w:p w14:paraId="7D0C3B51" w14:textId="77777777" w:rsidR="00BB7D36" w:rsidRDefault="00BB7D36" w:rsidP="00BB7D36">
            <w:pPr>
              <w:jc w:val="center"/>
            </w:pPr>
            <w:r>
              <w:t>90-95</w:t>
            </w:r>
          </w:p>
        </w:tc>
        <w:tc>
          <w:tcPr>
            <w:tcW w:w="1597" w:type="pct"/>
          </w:tcPr>
          <w:p w14:paraId="594C8357" w14:textId="77777777" w:rsidR="00BB7D36" w:rsidRDefault="00BB7D36" w:rsidP="00BB7D36">
            <w:pPr>
              <w:jc w:val="center"/>
            </w:pPr>
            <w:r>
              <w:t>1</w:t>
            </w:r>
          </w:p>
        </w:tc>
        <w:tc>
          <w:tcPr>
            <w:tcW w:w="1658" w:type="pct"/>
          </w:tcPr>
          <w:p w14:paraId="6757969E" w14:textId="77777777" w:rsidR="00BB7D36" w:rsidRDefault="00BB7D36" w:rsidP="00BB7D36">
            <w:pPr>
              <w:jc w:val="center"/>
            </w:pPr>
            <w:r>
              <w:t>0,75</w:t>
            </w:r>
          </w:p>
        </w:tc>
      </w:tr>
      <w:tr w:rsidR="00BB7D36" w14:paraId="48F24D5D" w14:textId="77777777" w:rsidTr="00BB7D36">
        <w:tc>
          <w:tcPr>
            <w:tcW w:w="1745" w:type="pct"/>
          </w:tcPr>
          <w:p w14:paraId="1B636146" w14:textId="77777777" w:rsidR="00BB7D36" w:rsidRDefault="00BB7D36" w:rsidP="00BB7D36">
            <w:pPr>
              <w:jc w:val="center"/>
            </w:pPr>
            <w:r>
              <w:t>75</w:t>
            </w:r>
          </w:p>
        </w:tc>
        <w:tc>
          <w:tcPr>
            <w:tcW w:w="1597" w:type="pct"/>
          </w:tcPr>
          <w:p w14:paraId="4E977C11" w14:textId="77777777" w:rsidR="00BB7D36" w:rsidRDefault="00BB7D36" w:rsidP="00BB7D36">
            <w:pPr>
              <w:jc w:val="center"/>
            </w:pPr>
            <w:r>
              <w:t>0,3</w:t>
            </w:r>
          </w:p>
        </w:tc>
        <w:tc>
          <w:tcPr>
            <w:tcW w:w="1658" w:type="pct"/>
          </w:tcPr>
          <w:p w14:paraId="247F7683" w14:textId="77777777" w:rsidR="00BB7D36" w:rsidRDefault="00BB7D36" w:rsidP="00BB7D36">
            <w:pPr>
              <w:jc w:val="center"/>
            </w:pPr>
            <w:r>
              <w:t>0,50</w:t>
            </w:r>
          </w:p>
        </w:tc>
      </w:tr>
      <w:tr w:rsidR="00BB7D36" w14:paraId="39C32118" w14:textId="77777777" w:rsidTr="00BB7D36">
        <w:tc>
          <w:tcPr>
            <w:tcW w:w="1745" w:type="pct"/>
          </w:tcPr>
          <w:p w14:paraId="128ED775" w14:textId="77777777" w:rsidR="00BB7D36" w:rsidRDefault="00BB7D36" w:rsidP="00BB7D36">
            <w:pPr>
              <w:jc w:val="center"/>
            </w:pPr>
            <w:r>
              <w:t>50</w:t>
            </w:r>
          </w:p>
        </w:tc>
        <w:tc>
          <w:tcPr>
            <w:tcW w:w="1597" w:type="pct"/>
          </w:tcPr>
          <w:p w14:paraId="0CEC61D9" w14:textId="77777777" w:rsidR="00BB7D36" w:rsidRDefault="00BB7D36" w:rsidP="00BB7D36">
            <w:pPr>
              <w:jc w:val="center"/>
            </w:pPr>
            <w:r>
              <w:t>0,1</w:t>
            </w:r>
          </w:p>
        </w:tc>
        <w:tc>
          <w:tcPr>
            <w:tcW w:w="1658" w:type="pct"/>
          </w:tcPr>
          <w:p w14:paraId="63727A1A" w14:textId="77777777" w:rsidR="00BB7D36" w:rsidRDefault="00BB7D36" w:rsidP="00BB7D36">
            <w:pPr>
              <w:jc w:val="center"/>
            </w:pPr>
            <w:r>
              <w:t>0,25</w:t>
            </w:r>
          </w:p>
        </w:tc>
      </w:tr>
      <w:tr w:rsidR="00BB7D36" w14:paraId="60BB4D27" w14:textId="77777777" w:rsidTr="00BB7D36">
        <w:tc>
          <w:tcPr>
            <w:tcW w:w="1745" w:type="pct"/>
          </w:tcPr>
          <w:p w14:paraId="0DD973E8" w14:textId="77777777" w:rsidR="00BB7D36" w:rsidRDefault="00BB7D36" w:rsidP="00BB7D36">
            <w:pPr>
              <w:jc w:val="center"/>
            </w:pPr>
            <w:r>
              <w:t>25</w:t>
            </w:r>
          </w:p>
        </w:tc>
        <w:tc>
          <w:tcPr>
            <w:tcW w:w="1597" w:type="pct"/>
          </w:tcPr>
          <w:p w14:paraId="6A404B1E" w14:textId="77777777" w:rsidR="00BB7D36" w:rsidRDefault="00BB7D36" w:rsidP="00BB7D36">
            <w:pPr>
              <w:jc w:val="center"/>
            </w:pPr>
            <w:r>
              <w:t>0,03</w:t>
            </w:r>
          </w:p>
        </w:tc>
        <w:tc>
          <w:tcPr>
            <w:tcW w:w="1658" w:type="pct"/>
          </w:tcPr>
          <w:p w14:paraId="3F8EB4CF" w14:textId="77777777" w:rsidR="00BB7D36" w:rsidRDefault="00BB7D36" w:rsidP="00BB7D36">
            <w:pPr>
              <w:jc w:val="center"/>
            </w:pPr>
            <w:r>
              <w:t>0,1</w:t>
            </w:r>
          </w:p>
        </w:tc>
      </w:tr>
    </w:tbl>
    <w:p w14:paraId="0C8BB6D9" w14:textId="77777777" w:rsidR="00B14C74" w:rsidRPr="00B11215" w:rsidRDefault="00B14C74" w:rsidP="00D737EC">
      <w:pPr>
        <w:spacing w:after="0" w:line="240" w:lineRule="auto"/>
      </w:pPr>
    </w:p>
    <w:sectPr w:rsidR="00B14C74" w:rsidRPr="00B11215" w:rsidSect="000F6AA0">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73DA1" w14:textId="77777777" w:rsidR="00AF635C" w:rsidRDefault="00AF635C" w:rsidP="00682132">
      <w:pPr>
        <w:spacing w:after="0" w:line="240" w:lineRule="auto"/>
      </w:pPr>
      <w:r>
        <w:separator/>
      </w:r>
    </w:p>
  </w:endnote>
  <w:endnote w:type="continuationSeparator" w:id="0">
    <w:p w14:paraId="6E399C7C" w14:textId="77777777" w:rsidR="00AF635C" w:rsidRDefault="00AF635C" w:rsidP="0068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508874"/>
      <w:docPartObj>
        <w:docPartGallery w:val="Page Numbers (Bottom of Page)"/>
        <w:docPartUnique/>
      </w:docPartObj>
    </w:sdtPr>
    <w:sdtEndPr/>
    <w:sdtContent>
      <w:p w14:paraId="692B2778" w14:textId="1FC906CD" w:rsidR="00663FF6" w:rsidRDefault="00663FF6">
        <w:pPr>
          <w:pStyle w:val="Voettekst"/>
          <w:jc w:val="center"/>
        </w:pPr>
        <w:r>
          <w:fldChar w:fldCharType="begin"/>
        </w:r>
        <w:r>
          <w:instrText>PAGE   \* MERGEFORMAT</w:instrText>
        </w:r>
        <w:r>
          <w:fldChar w:fldCharType="separate"/>
        </w:r>
        <w:r w:rsidR="000615B6">
          <w:rPr>
            <w:noProof/>
          </w:rPr>
          <w:t>8</w:t>
        </w:r>
        <w:r>
          <w:fldChar w:fldCharType="end"/>
        </w:r>
      </w:p>
    </w:sdtContent>
  </w:sdt>
  <w:p w14:paraId="37961437" w14:textId="77777777" w:rsidR="00663FF6" w:rsidRDefault="00663F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98F4E" w14:textId="77777777" w:rsidR="00AF635C" w:rsidRDefault="00AF635C" w:rsidP="00682132">
      <w:pPr>
        <w:spacing w:after="0" w:line="240" w:lineRule="auto"/>
      </w:pPr>
      <w:r>
        <w:separator/>
      </w:r>
    </w:p>
  </w:footnote>
  <w:footnote w:type="continuationSeparator" w:id="0">
    <w:p w14:paraId="3AA430E4" w14:textId="77777777" w:rsidR="00AF635C" w:rsidRDefault="00AF635C" w:rsidP="00682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D70"/>
    <w:multiLevelType w:val="hybridMultilevel"/>
    <w:tmpl w:val="C48817F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05AD4"/>
    <w:multiLevelType w:val="hybridMultilevel"/>
    <w:tmpl w:val="AA309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2D61A5"/>
    <w:multiLevelType w:val="hybridMultilevel"/>
    <w:tmpl w:val="E5268E5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ED593D"/>
    <w:multiLevelType w:val="hybridMultilevel"/>
    <w:tmpl w:val="85767D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51949"/>
    <w:multiLevelType w:val="hybridMultilevel"/>
    <w:tmpl w:val="BB10E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29649D"/>
    <w:multiLevelType w:val="hybridMultilevel"/>
    <w:tmpl w:val="336281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A52772"/>
    <w:multiLevelType w:val="hybridMultilevel"/>
    <w:tmpl w:val="A0601C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70034B"/>
    <w:multiLevelType w:val="hybridMultilevel"/>
    <w:tmpl w:val="B3D0B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B97B0E"/>
    <w:multiLevelType w:val="hybridMultilevel"/>
    <w:tmpl w:val="49BC2B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FD0B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610137"/>
    <w:multiLevelType w:val="hybridMultilevel"/>
    <w:tmpl w:val="753CE1CC"/>
    <w:lvl w:ilvl="0" w:tplc="0413000F">
      <w:start w:val="1"/>
      <w:numFmt w:val="decimal"/>
      <w:lvlText w:val="%1."/>
      <w:lvlJc w:val="left"/>
      <w:pPr>
        <w:ind w:left="780" w:hanging="360"/>
      </w:pPr>
      <w:rPr>
        <w:rFont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360A5C78"/>
    <w:multiLevelType w:val="hybridMultilevel"/>
    <w:tmpl w:val="F490E0DA"/>
    <w:lvl w:ilvl="0" w:tplc="7A56B8AA">
      <w:start w:val="2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0E4311"/>
    <w:multiLevelType w:val="hybridMultilevel"/>
    <w:tmpl w:val="CDD2A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CF532DB"/>
    <w:multiLevelType w:val="hybridMultilevel"/>
    <w:tmpl w:val="49EC3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05261F"/>
    <w:multiLevelType w:val="hybridMultilevel"/>
    <w:tmpl w:val="70C0CF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B65579"/>
    <w:multiLevelType w:val="hybridMultilevel"/>
    <w:tmpl w:val="EBD86F34"/>
    <w:lvl w:ilvl="0" w:tplc="0413000F">
      <w:start w:val="1"/>
      <w:numFmt w:val="decimal"/>
      <w:lvlText w:val="%1."/>
      <w:lvlJc w:val="left"/>
      <w:pPr>
        <w:ind w:left="780" w:hanging="360"/>
      </w:pPr>
      <w:rPr>
        <w:rFont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15:restartNumberingAfterBreak="0">
    <w:nsid w:val="460578A4"/>
    <w:multiLevelType w:val="hybridMultilevel"/>
    <w:tmpl w:val="10B42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7C1B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7A70645"/>
    <w:multiLevelType w:val="hybridMultilevel"/>
    <w:tmpl w:val="6590E47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7A4103"/>
    <w:multiLevelType w:val="hybridMultilevel"/>
    <w:tmpl w:val="C73E2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0B44C9"/>
    <w:multiLevelType w:val="hybridMultilevel"/>
    <w:tmpl w:val="0A20DE8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2621F1"/>
    <w:multiLevelType w:val="hybridMultilevel"/>
    <w:tmpl w:val="983EF3DE"/>
    <w:lvl w:ilvl="0" w:tplc="7A56B8AA">
      <w:start w:val="2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3D0499"/>
    <w:multiLevelType w:val="hybridMultilevel"/>
    <w:tmpl w:val="1496214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9B0935"/>
    <w:multiLevelType w:val="hybridMultilevel"/>
    <w:tmpl w:val="AA368B70"/>
    <w:lvl w:ilvl="0" w:tplc="0413001B">
      <w:start w:val="1"/>
      <w:numFmt w:val="low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4" w15:restartNumberingAfterBreak="0">
    <w:nsid w:val="64E97EEB"/>
    <w:multiLevelType w:val="hybridMultilevel"/>
    <w:tmpl w:val="46884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9995767"/>
    <w:multiLevelType w:val="hybridMultilevel"/>
    <w:tmpl w:val="48729E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73471C"/>
    <w:multiLevelType w:val="hybridMultilevel"/>
    <w:tmpl w:val="81865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EDF34ED"/>
    <w:multiLevelType w:val="hybridMultilevel"/>
    <w:tmpl w:val="49A0F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E25BB2"/>
    <w:multiLevelType w:val="hybridMultilevel"/>
    <w:tmpl w:val="1AD6F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16"/>
  </w:num>
  <w:num w:numId="5">
    <w:abstractNumId w:val="13"/>
  </w:num>
  <w:num w:numId="6">
    <w:abstractNumId w:val="21"/>
  </w:num>
  <w:num w:numId="7">
    <w:abstractNumId w:val="1"/>
  </w:num>
  <w:num w:numId="8">
    <w:abstractNumId w:val="27"/>
  </w:num>
  <w:num w:numId="9">
    <w:abstractNumId w:val="22"/>
  </w:num>
  <w:num w:numId="10">
    <w:abstractNumId w:val="4"/>
  </w:num>
  <w:num w:numId="11">
    <w:abstractNumId w:val="18"/>
  </w:num>
  <w:num w:numId="12">
    <w:abstractNumId w:val="6"/>
  </w:num>
  <w:num w:numId="13">
    <w:abstractNumId w:val="12"/>
  </w:num>
  <w:num w:numId="14">
    <w:abstractNumId w:val="2"/>
  </w:num>
  <w:num w:numId="15">
    <w:abstractNumId w:val="3"/>
  </w:num>
  <w:num w:numId="16">
    <w:abstractNumId w:val="28"/>
  </w:num>
  <w:num w:numId="17">
    <w:abstractNumId w:val="19"/>
  </w:num>
  <w:num w:numId="18">
    <w:abstractNumId w:val="25"/>
  </w:num>
  <w:num w:numId="19">
    <w:abstractNumId w:val="23"/>
  </w:num>
  <w:num w:numId="20">
    <w:abstractNumId w:val="15"/>
  </w:num>
  <w:num w:numId="21">
    <w:abstractNumId w:val="26"/>
  </w:num>
  <w:num w:numId="22">
    <w:abstractNumId w:val="7"/>
  </w:num>
  <w:num w:numId="23">
    <w:abstractNumId w:val="10"/>
  </w:num>
  <w:num w:numId="24">
    <w:abstractNumId w:val="24"/>
  </w:num>
  <w:num w:numId="25">
    <w:abstractNumId w:val="0"/>
  </w:num>
  <w:num w:numId="26">
    <w:abstractNumId w:val="14"/>
  </w:num>
  <w:num w:numId="27">
    <w:abstractNumId w:val="8"/>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2B"/>
    <w:rsid w:val="00005D0D"/>
    <w:rsid w:val="00006676"/>
    <w:rsid w:val="0001277A"/>
    <w:rsid w:val="0002248C"/>
    <w:rsid w:val="0002327A"/>
    <w:rsid w:val="00034252"/>
    <w:rsid w:val="00045E29"/>
    <w:rsid w:val="00055A3D"/>
    <w:rsid w:val="00055D4A"/>
    <w:rsid w:val="00056379"/>
    <w:rsid w:val="000615B6"/>
    <w:rsid w:val="000D7C39"/>
    <w:rsid w:val="000E2E6E"/>
    <w:rsid w:val="000E4BC2"/>
    <w:rsid w:val="000E6D58"/>
    <w:rsid w:val="000F3B03"/>
    <w:rsid w:val="000F45C7"/>
    <w:rsid w:val="000F6AA0"/>
    <w:rsid w:val="00112F41"/>
    <w:rsid w:val="00115865"/>
    <w:rsid w:val="00116B41"/>
    <w:rsid w:val="00130ECC"/>
    <w:rsid w:val="001330FF"/>
    <w:rsid w:val="0014401C"/>
    <w:rsid w:val="00147506"/>
    <w:rsid w:val="0015611E"/>
    <w:rsid w:val="00156A0E"/>
    <w:rsid w:val="00176128"/>
    <w:rsid w:val="00177645"/>
    <w:rsid w:val="001864A7"/>
    <w:rsid w:val="00197002"/>
    <w:rsid w:val="001A086E"/>
    <w:rsid w:val="001A10E8"/>
    <w:rsid w:val="001A1209"/>
    <w:rsid w:val="001B308B"/>
    <w:rsid w:val="001C12B1"/>
    <w:rsid w:val="001C17C1"/>
    <w:rsid w:val="001D0D67"/>
    <w:rsid w:val="001F21AD"/>
    <w:rsid w:val="001F4CB9"/>
    <w:rsid w:val="001F5586"/>
    <w:rsid w:val="002028F3"/>
    <w:rsid w:val="002054B0"/>
    <w:rsid w:val="00225B85"/>
    <w:rsid w:val="00231297"/>
    <w:rsid w:val="0023419C"/>
    <w:rsid w:val="002407C5"/>
    <w:rsid w:val="002636C5"/>
    <w:rsid w:val="00266566"/>
    <w:rsid w:val="00280862"/>
    <w:rsid w:val="00283D71"/>
    <w:rsid w:val="0029072B"/>
    <w:rsid w:val="00295D20"/>
    <w:rsid w:val="002A2ACA"/>
    <w:rsid w:val="002A2E0B"/>
    <w:rsid w:val="002A3414"/>
    <w:rsid w:val="002B13EB"/>
    <w:rsid w:val="002B3BAB"/>
    <w:rsid w:val="002B4AE4"/>
    <w:rsid w:val="002B799C"/>
    <w:rsid w:val="002B7ECA"/>
    <w:rsid w:val="002C05F6"/>
    <w:rsid w:val="002C3691"/>
    <w:rsid w:val="002F4087"/>
    <w:rsid w:val="002F51C0"/>
    <w:rsid w:val="00330FA3"/>
    <w:rsid w:val="00333AD8"/>
    <w:rsid w:val="0034168A"/>
    <w:rsid w:val="00343ADD"/>
    <w:rsid w:val="003464D8"/>
    <w:rsid w:val="00353E53"/>
    <w:rsid w:val="0035660E"/>
    <w:rsid w:val="00365185"/>
    <w:rsid w:val="0037310B"/>
    <w:rsid w:val="0038320C"/>
    <w:rsid w:val="00390E92"/>
    <w:rsid w:val="00396420"/>
    <w:rsid w:val="003A0804"/>
    <w:rsid w:val="003B0663"/>
    <w:rsid w:val="003C5143"/>
    <w:rsid w:val="003E3514"/>
    <w:rsid w:val="00402521"/>
    <w:rsid w:val="004040EC"/>
    <w:rsid w:val="004103C9"/>
    <w:rsid w:val="00414793"/>
    <w:rsid w:val="004212E1"/>
    <w:rsid w:val="00426AF8"/>
    <w:rsid w:val="004309CD"/>
    <w:rsid w:val="00430DAE"/>
    <w:rsid w:val="004323DF"/>
    <w:rsid w:val="00443883"/>
    <w:rsid w:val="00486CF1"/>
    <w:rsid w:val="004B3912"/>
    <w:rsid w:val="004B428A"/>
    <w:rsid w:val="004B795B"/>
    <w:rsid w:val="004B7C73"/>
    <w:rsid w:val="004C5165"/>
    <w:rsid w:val="004E2F3B"/>
    <w:rsid w:val="004E3154"/>
    <w:rsid w:val="004E4937"/>
    <w:rsid w:val="0050505B"/>
    <w:rsid w:val="00505835"/>
    <w:rsid w:val="005338B1"/>
    <w:rsid w:val="00534040"/>
    <w:rsid w:val="00534441"/>
    <w:rsid w:val="005411B8"/>
    <w:rsid w:val="005431A7"/>
    <w:rsid w:val="00550BD5"/>
    <w:rsid w:val="00560F41"/>
    <w:rsid w:val="00565F10"/>
    <w:rsid w:val="00573A97"/>
    <w:rsid w:val="00577A85"/>
    <w:rsid w:val="00592290"/>
    <w:rsid w:val="0059769D"/>
    <w:rsid w:val="005A10B2"/>
    <w:rsid w:val="005B796A"/>
    <w:rsid w:val="005C1505"/>
    <w:rsid w:val="005D42FB"/>
    <w:rsid w:val="00611C8B"/>
    <w:rsid w:val="00621606"/>
    <w:rsid w:val="0063465B"/>
    <w:rsid w:val="006417E4"/>
    <w:rsid w:val="00663FF6"/>
    <w:rsid w:val="006641A2"/>
    <w:rsid w:val="00665233"/>
    <w:rsid w:val="00673FF4"/>
    <w:rsid w:val="00682132"/>
    <w:rsid w:val="006A101B"/>
    <w:rsid w:val="006C3229"/>
    <w:rsid w:val="006E2B5D"/>
    <w:rsid w:val="006F0B17"/>
    <w:rsid w:val="006F37A2"/>
    <w:rsid w:val="006F3AB5"/>
    <w:rsid w:val="0070186E"/>
    <w:rsid w:val="007174A5"/>
    <w:rsid w:val="007215F0"/>
    <w:rsid w:val="0072500D"/>
    <w:rsid w:val="00730161"/>
    <w:rsid w:val="00731CC5"/>
    <w:rsid w:val="00732969"/>
    <w:rsid w:val="007346E4"/>
    <w:rsid w:val="00735730"/>
    <w:rsid w:val="00746796"/>
    <w:rsid w:val="00760174"/>
    <w:rsid w:val="00766A84"/>
    <w:rsid w:val="00772791"/>
    <w:rsid w:val="0078316D"/>
    <w:rsid w:val="007A440E"/>
    <w:rsid w:val="007A579B"/>
    <w:rsid w:val="007B5983"/>
    <w:rsid w:val="007B63AF"/>
    <w:rsid w:val="007C7225"/>
    <w:rsid w:val="007D08B9"/>
    <w:rsid w:val="008002C4"/>
    <w:rsid w:val="00802532"/>
    <w:rsid w:val="00810E9D"/>
    <w:rsid w:val="008233A3"/>
    <w:rsid w:val="00825173"/>
    <w:rsid w:val="00835E0A"/>
    <w:rsid w:val="00851CB1"/>
    <w:rsid w:val="00853AE0"/>
    <w:rsid w:val="008714F2"/>
    <w:rsid w:val="00874D94"/>
    <w:rsid w:val="0088045A"/>
    <w:rsid w:val="00881FB8"/>
    <w:rsid w:val="00894938"/>
    <w:rsid w:val="00897CF0"/>
    <w:rsid w:val="008B2294"/>
    <w:rsid w:val="008B3CE5"/>
    <w:rsid w:val="008C0372"/>
    <w:rsid w:val="008D0CBE"/>
    <w:rsid w:val="008D1BDF"/>
    <w:rsid w:val="008D2552"/>
    <w:rsid w:val="008E2554"/>
    <w:rsid w:val="008E60E0"/>
    <w:rsid w:val="00903FA6"/>
    <w:rsid w:val="009052FB"/>
    <w:rsid w:val="009143C3"/>
    <w:rsid w:val="00915AE8"/>
    <w:rsid w:val="00915EAF"/>
    <w:rsid w:val="00921D99"/>
    <w:rsid w:val="00927BB0"/>
    <w:rsid w:val="009379AE"/>
    <w:rsid w:val="00937DD1"/>
    <w:rsid w:val="00941F92"/>
    <w:rsid w:val="009440C8"/>
    <w:rsid w:val="0094528F"/>
    <w:rsid w:val="00960A66"/>
    <w:rsid w:val="00964922"/>
    <w:rsid w:val="009767B1"/>
    <w:rsid w:val="009A0E2B"/>
    <w:rsid w:val="009B2119"/>
    <w:rsid w:val="009D03B0"/>
    <w:rsid w:val="009D7AAF"/>
    <w:rsid w:val="00A01824"/>
    <w:rsid w:val="00A12526"/>
    <w:rsid w:val="00A30C48"/>
    <w:rsid w:val="00A40E57"/>
    <w:rsid w:val="00A530D6"/>
    <w:rsid w:val="00A57AAB"/>
    <w:rsid w:val="00A61661"/>
    <w:rsid w:val="00A63072"/>
    <w:rsid w:val="00A70E28"/>
    <w:rsid w:val="00A70F1A"/>
    <w:rsid w:val="00A72B49"/>
    <w:rsid w:val="00A7754E"/>
    <w:rsid w:val="00A8376A"/>
    <w:rsid w:val="00A954B4"/>
    <w:rsid w:val="00A95ED5"/>
    <w:rsid w:val="00AA1809"/>
    <w:rsid w:val="00AA7242"/>
    <w:rsid w:val="00AB1AD1"/>
    <w:rsid w:val="00AB46D2"/>
    <w:rsid w:val="00AB5D21"/>
    <w:rsid w:val="00AD1FCC"/>
    <w:rsid w:val="00AE6B58"/>
    <w:rsid w:val="00AF50AB"/>
    <w:rsid w:val="00AF635C"/>
    <w:rsid w:val="00B11215"/>
    <w:rsid w:val="00B11E44"/>
    <w:rsid w:val="00B14C74"/>
    <w:rsid w:val="00B26200"/>
    <w:rsid w:val="00B40E50"/>
    <w:rsid w:val="00B5382C"/>
    <w:rsid w:val="00B75A5F"/>
    <w:rsid w:val="00BA4E43"/>
    <w:rsid w:val="00BB7D36"/>
    <w:rsid w:val="00BB7D38"/>
    <w:rsid w:val="00BC3309"/>
    <w:rsid w:val="00BC3FE1"/>
    <w:rsid w:val="00BC438D"/>
    <w:rsid w:val="00BD083B"/>
    <w:rsid w:val="00BF1489"/>
    <w:rsid w:val="00BF2CAF"/>
    <w:rsid w:val="00C02921"/>
    <w:rsid w:val="00C2288C"/>
    <w:rsid w:val="00C24017"/>
    <w:rsid w:val="00C342F2"/>
    <w:rsid w:val="00C36AB1"/>
    <w:rsid w:val="00C36B9A"/>
    <w:rsid w:val="00C40DF9"/>
    <w:rsid w:val="00C418FC"/>
    <w:rsid w:val="00C556B4"/>
    <w:rsid w:val="00C81953"/>
    <w:rsid w:val="00C8696F"/>
    <w:rsid w:val="00C92F11"/>
    <w:rsid w:val="00C93597"/>
    <w:rsid w:val="00C937AC"/>
    <w:rsid w:val="00C94466"/>
    <w:rsid w:val="00CB1131"/>
    <w:rsid w:val="00CC24E2"/>
    <w:rsid w:val="00CF0E65"/>
    <w:rsid w:val="00CF77B4"/>
    <w:rsid w:val="00D00DE4"/>
    <w:rsid w:val="00D12CCC"/>
    <w:rsid w:val="00D212CD"/>
    <w:rsid w:val="00D307FE"/>
    <w:rsid w:val="00D35893"/>
    <w:rsid w:val="00D36C50"/>
    <w:rsid w:val="00D50142"/>
    <w:rsid w:val="00D63769"/>
    <w:rsid w:val="00D737EC"/>
    <w:rsid w:val="00D96222"/>
    <w:rsid w:val="00D978C5"/>
    <w:rsid w:val="00DA0534"/>
    <w:rsid w:val="00DA0928"/>
    <w:rsid w:val="00DA26D1"/>
    <w:rsid w:val="00DC2830"/>
    <w:rsid w:val="00E267BE"/>
    <w:rsid w:val="00E37DA2"/>
    <w:rsid w:val="00E44D23"/>
    <w:rsid w:val="00E52FE1"/>
    <w:rsid w:val="00E54F34"/>
    <w:rsid w:val="00E738FD"/>
    <w:rsid w:val="00E739A0"/>
    <w:rsid w:val="00E80ADF"/>
    <w:rsid w:val="00E813D4"/>
    <w:rsid w:val="00E87AC8"/>
    <w:rsid w:val="00E9588D"/>
    <w:rsid w:val="00E96C17"/>
    <w:rsid w:val="00EA580D"/>
    <w:rsid w:val="00EB39C7"/>
    <w:rsid w:val="00EC54BD"/>
    <w:rsid w:val="00EF2B8F"/>
    <w:rsid w:val="00F1604F"/>
    <w:rsid w:val="00F171F1"/>
    <w:rsid w:val="00F36C24"/>
    <w:rsid w:val="00F45009"/>
    <w:rsid w:val="00F56123"/>
    <w:rsid w:val="00F730E9"/>
    <w:rsid w:val="00F75930"/>
    <w:rsid w:val="00F92ABE"/>
    <w:rsid w:val="00FB1733"/>
    <w:rsid w:val="00FB5EB7"/>
    <w:rsid w:val="00FB6CD4"/>
    <w:rsid w:val="00FB7514"/>
    <w:rsid w:val="00FC0F69"/>
    <w:rsid w:val="00FC5C9B"/>
    <w:rsid w:val="00FD10C5"/>
    <w:rsid w:val="00FE100F"/>
    <w:rsid w:val="00FF3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6BBB"/>
  <w15:chartTrackingRefBased/>
  <w15:docId w15:val="{B7981540-FE90-4088-8C9D-B7DD7F9A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64A7"/>
  </w:style>
  <w:style w:type="paragraph" w:styleId="Kop1">
    <w:name w:val="heading 1"/>
    <w:basedOn w:val="Standaard"/>
    <w:next w:val="Standaard"/>
    <w:link w:val="Kop1Char"/>
    <w:uiPriority w:val="9"/>
    <w:qFormat/>
    <w:rsid w:val="003B06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B7C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746796"/>
    <w:pPr>
      <w:numPr>
        <w:numId w:val="2"/>
      </w:numPr>
    </w:pPr>
  </w:style>
  <w:style w:type="character" w:customStyle="1" w:styleId="Heading1Char">
    <w:name w:val="Heading 1 Char"/>
    <w:semiHidden/>
    <w:rsid w:val="00746796"/>
    <w:rPr>
      <w:rFonts w:ascii="Helvetica" w:hAnsi="Helvetica"/>
      <w:b/>
      <w:kern w:val="28"/>
      <w:sz w:val="24"/>
      <w:lang w:val="nl" w:eastAsia="en-US" w:bidi="ar-SA"/>
    </w:rPr>
  </w:style>
  <w:style w:type="character" w:customStyle="1" w:styleId="Heading3Char">
    <w:name w:val="Heading 3 Char"/>
    <w:semiHidden/>
    <w:rsid w:val="00746796"/>
    <w:rPr>
      <w:rFonts w:ascii="Helvetica" w:hAnsi="Helvetica"/>
      <w:lang w:val="nl-NL" w:eastAsia="en-US" w:bidi="ar-SA"/>
    </w:rPr>
  </w:style>
  <w:style w:type="character" w:customStyle="1" w:styleId="Heading4Char">
    <w:name w:val="Heading 4 Char"/>
    <w:semiHidden/>
    <w:rsid w:val="00746796"/>
    <w:rPr>
      <w:rFonts w:ascii="Helvetica" w:hAnsi="Helvetica"/>
      <w:b/>
      <w:lang w:val="nl-NL" w:eastAsia="en-US" w:bidi="ar-SA"/>
    </w:rPr>
  </w:style>
  <w:style w:type="character" w:customStyle="1" w:styleId="Heading6Char">
    <w:name w:val="Heading 6 Char"/>
    <w:semiHidden/>
    <w:rsid w:val="00746796"/>
    <w:rPr>
      <w:rFonts w:ascii="Arial" w:hAnsi="Arial"/>
      <w:i/>
      <w:sz w:val="22"/>
      <w:lang w:val="nl-NL" w:eastAsia="en-US" w:bidi="ar-SA"/>
    </w:rPr>
  </w:style>
  <w:style w:type="paragraph" w:styleId="Geenafstand">
    <w:name w:val="No Spacing"/>
    <w:uiPriority w:val="1"/>
    <w:qFormat/>
    <w:rsid w:val="003A0804"/>
    <w:pPr>
      <w:spacing w:after="0" w:line="240" w:lineRule="auto"/>
    </w:pPr>
    <w:rPr>
      <w:rFonts w:ascii="Verdana" w:hAnsi="Verdana"/>
      <w:sz w:val="18"/>
    </w:rPr>
  </w:style>
  <w:style w:type="paragraph" w:styleId="Voetnoottekst">
    <w:name w:val="footnote text"/>
    <w:basedOn w:val="Standaard"/>
    <w:link w:val="VoetnoottekstChar"/>
    <w:uiPriority w:val="99"/>
    <w:semiHidden/>
    <w:unhideWhenUsed/>
    <w:rsid w:val="00682132"/>
    <w:pPr>
      <w:spacing w:after="0"/>
    </w:pPr>
    <w:rPr>
      <w:sz w:val="20"/>
      <w:szCs w:val="20"/>
    </w:rPr>
  </w:style>
  <w:style w:type="character" w:customStyle="1" w:styleId="VoetnoottekstChar">
    <w:name w:val="Voetnoottekst Char"/>
    <w:basedOn w:val="Standaardalinea-lettertype"/>
    <w:link w:val="Voetnoottekst"/>
    <w:uiPriority w:val="99"/>
    <w:semiHidden/>
    <w:rsid w:val="00682132"/>
    <w:rPr>
      <w:sz w:val="20"/>
      <w:szCs w:val="20"/>
    </w:rPr>
  </w:style>
  <w:style w:type="character" w:styleId="Voetnootmarkering">
    <w:name w:val="footnote reference"/>
    <w:basedOn w:val="Standaardalinea-lettertype"/>
    <w:uiPriority w:val="99"/>
    <w:semiHidden/>
    <w:unhideWhenUsed/>
    <w:rsid w:val="00682132"/>
    <w:rPr>
      <w:vertAlign w:val="superscript"/>
    </w:rPr>
  </w:style>
  <w:style w:type="table" w:styleId="Tabelraster">
    <w:name w:val="Table Grid"/>
    <w:basedOn w:val="Standaardtabel"/>
    <w:uiPriority w:val="39"/>
    <w:rsid w:val="00C3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45009"/>
    <w:pPr>
      <w:ind w:left="720"/>
      <w:contextualSpacing/>
    </w:pPr>
  </w:style>
  <w:style w:type="paragraph" w:styleId="Koptekst">
    <w:name w:val="header"/>
    <w:basedOn w:val="Standaard"/>
    <w:link w:val="KoptekstChar"/>
    <w:uiPriority w:val="99"/>
    <w:unhideWhenUsed/>
    <w:rsid w:val="00663F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63FF6"/>
  </w:style>
  <w:style w:type="paragraph" w:styleId="Voettekst">
    <w:name w:val="footer"/>
    <w:basedOn w:val="Standaard"/>
    <w:link w:val="VoettekstChar"/>
    <w:uiPriority w:val="99"/>
    <w:unhideWhenUsed/>
    <w:rsid w:val="00663F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63FF6"/>
  </w:style>
  <w:style w:type="character" w:customStyle="1" w:styleId="Kop1Char">
    <w:name w:val="Kop 1 Char"/>
    <w:basedOn w:val="Standaardalinea-lettertype"/>
    <w:link w:val="Kop1"/>
    <w:uiPriority w:val="9"/>
    <w:rsid w:val="003B0663"/>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A12526"/>
    <w:rPr>
      <w:sz w:val="16"/>
      <w:szCs w:val="16"/>
    </w:rPr>
  </w:style>
  <w:style w:type="paragraph" w:styleId="Tekstopmerking">
    <w:name w:val="annotation text"/>
    <w:basedOn w:val="Standaard"/>
    <w:link w:val="TekstopmerkingChar"/>
    <w:uiPriority w:val="99"/>
    <w:semiHidden/>
    <w:unhideWhenUsed/>
    <w:rsid w:val="00A1252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2526"/>
    <w:rPr>
      <w:sz w:val="20"/>
      <w:szCs w:val="20"/>
    </w:rPr>
  </w:style>
  <w:style w:type="paragraph" w:styleId="Onderwerpvanopmerking">
    <w:name w:val="annotation subject"/>
    <w:basedOn w:val="Tekstopmerking"/>
    <w:next w:val="Tekstopmerking"/>
    <w:link w:val="OnderwerpvanopmerkingChar"/>
    <w:uiPriority w:val="99"/>
    <w:semiHidden/>
    <w:unhideWhenUsed/>
    <w:rsid w:val="00A12526"/>
    <w:rPr>
      <w:b/>
      <w:bCs/>
    </w:rPr>
  </w:style>
  <w:style w:type="character" w:customStyle="1" w:styleId="OnderwerpvanopmerkingChar">
    <w:name w:val="Onderwerp van opmerking Char"/>
    <w:basedOn w:val="TekstopmerkingChar"/>
    <w:link w:val="Onderwerpvanopmerking"/>
    <w:uiPriority w:val="99"/>
    <w:semiHidden/>
    <w:rsid w:val="00A12526"/>
    <w:rPr>
      <w:b/>
      <w:bCs/>
      <w:sz w:val="20"/>
      <w:szCs w:val="20"/>
    </w:rPr>
  </w:style>
  <w:style w:type="paragraph" w:styleId="Ballontekst">
    <w:name w:val="Balloon Text"/>
    <w:basedOn w:val="Standaard"/>
    <w:link w:val="BallontekstChar"/>
    <w:uiPriority w:val="99"/>
    <w:semiHidden/>
    <w:unhideWhenUsed/>
    <w:rsid w:val="00A125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2526"/>
    <w:rPr>
      <w:rFonts w:ascii="Segoe UI" w:hAnsi="Segoe UI" w:cs="Segoe UI"/>
      <w:sz w:val="18"/>
      <w:szCs w:val="18"/>
    </w:rPr>
  </w:style>
  <w:style w:type="character" w:customStyle="1" w:styleId="Kop2Char">
    <w:name w:val="Kop 2 Char"/>
    <w:basedOn w:val="Standaardalinea-lettertype"/>
    <w:link w:val="Kop2"/>
    <w:uiPriority w:val="9"/>
    <w:rsid w:val="004B7C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C2E1-2AA1-4187-951F-C13E1962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2728</Words>
  <Characters>15005</Characters>
  <Application>Microsoft Office Word</Application>
  <DocSecurity>4</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Proteus 4.5 Omgaan met TZV BZV - aanvulling ABR pk 11 april 2022 incl RIVM Simpletreat</dc:title>
  <dc:subject/>
  <dc:creator>Braam, Leon (WNZ)</dc:creator>
  <cp:keywords/>
  <dc:description/>
  <cp:lastModifiedBy>Westra, Nynke (WVL)</cp:lastModifiedBy>
  <cp:revision>2</cp:revision>
  <dcterms:created xsi:type="dcterms:W3CDTF">2022-04-25T08:27:00Z</dcterms:created>
  <dcterms:modified xsi:type="dcterms:W3CDTF">2022-04-25T08:27:00Z</dcterms:modified>
</cp:coreProperties>
</file>