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E2" w:rsidRPr="00055CD5" w:rsidRDefault="00945AC0">
      <w:pPr>
        <w:rPr>
          <w:b/>
          <w:szCs w:val="18"/>
          <w:u w:val="single"/>
        </w:rPr>
      </w:pPr>
      <w:r w:rsidRPr="00055CD5">
        <w:rPr>
          <w:b/>
          <w:szCs w:val="18"/>
          <w:u w:val="single"/>
        </w:rPr>
        <w:t>Veranderingslog Proteus 4.5</w:t>
      </w:r>
    </w:p>
    <w:p w:rsidR="00945AC0" w:rsidRPr="00055CD5" w:rsidRDefault="00945AC0" w:rsidP="00945AC0">
      <w:pPr>
        <w:pStyle w:val="Kop3"/>
        <w:numPr>
          <w:ilvl w:val="0"/>
          <w:numId w:val="0"/>
        </w:numPr>
        <w:rPr>
          <w:rFonts w:ascii="Verdana" w:hAnsi="Verdana"/>
          <w:sz w:val="18"/>
          <w:szCs w:val="18"/>
        </w:rPr>
      </w:pPr>
      <w:bookmarkStart w:id="0" w:name="_Toc63162282"/>
      <w:r w:rsidRPr="00055CD5">
        <w:rPr>
          <w:rFonts w:ascii="Verdana" w:hAnsi="Verdana"/>
          <w:sz w:val="18"/>
          <w:szCs w:val="18"/>
        </w:rPr>
        <w:t xml:space="preserve">Veranderingen </w:t>
      </w:r>
      <w:r w:rsidRPr="00055CD5">
        <w:rPr>
          <w:rFonts w:ascii="Verdana" w:hAnsi="Verdana"/>
          <w:sz w:val="18"/>
          <w:szCs w:val="18"/>
        </w:rPr>
        <w:t xml:space="preserve">op hoofdlijnen </w:t>
      </w:r>
      <w:r w:rsidRPr="00055CD5">
        <w:rPr>
          <w:rFonts w:ascii="Verdana" w:hAnsi="Verdana"/>
          <w:sz w:val="18"/>
          <w:szCs w:val="18"/>
        </w:rPr>
        <w:t>van Proteus 3 naar Proteus 4</w:t>
      </w:r>
      <w:bookmarkEnd w:id="0"/>
    </w:p>
    <w:p w:rsidR="00055CD5" w:rsidRPr="00055CD5" w:rsidRDefault="00055CD5" w:rsidP="00AC041E">
      <w:pPr>
        <w:pStyle w:val="Plattetekst"/>
        <w:numPr>
          <w:ilvl w:val="0"/>
          <w:numId w:val="7"/>
        </w:numPr>
        <w:jc w:val="left"/>
        <w:rPr>
          <w:rFonts w:ascii="Verdana" w:hAnsi="Verdana"/>
          <w:i/>
          <w:iCs/>
          <w:sz w:val="18"/>
          <w:szCs w:val="18"/>
        </w:rPr>
      </w:pPr>
      <w:r w:rsidRPr="00055CD5">
        <w:rPr>
          <w:rFonts w:ascii="Verdana" w:hAnsi="Verdana"/>
          <w:i/>
          <w:iCs/>
          <w:sz w:val="18"/>
          <w:szCs w:val="18"/>
        </w:rPr>
        <w:t>Een aantal prioritaire bug</w:t>
      </w:r>
      <w:r>
        <w:rPr>
          <w:rFonts w:ascii="Verdana" w:hAnsi="Verdana"/>
          <w:i/>
          <w:iCs/>
          <w:sz w:val="18"/>
          <w:szCs w:val="18"/>
        </w:rPr>
        <w:t>s</w:t>
      </w:r>
      <w:r w:rsidRPr="00055CD5">
        <w:rPr>
          <w:rFonts w:ascii="Verdana" w:hAnsi="Verdana"/>
          <w:i/>
          <w:iCs/>
          <w:sz w:val="18"/>
          <w:szCs w:val="18"/>
        </w:rPr>
        <w:t xml:space="preserve"> opgelost</w:t>
      </w:r>
    </w:p>
    <w:p w:rsidR="00945AC0" w:rsidRPr="00055CD5" w:rsidRDefault="00945AC0" w:rsidP="00AC041E">
      <w:pPr>
        <w:pStyle w:val="Plattetekst"/>
        <w:numPr>
          <w:ilvl w:val="0"/>
          <w:numId w:val="7"/>
        </w:numPr>
        <w:jc w:val="left"/>
        <w:rPr>
          <w:rFonts w:ascii="Verdana" w:hAnsi="Verdana"/>
          <w:iCs/>
          <w:sz w:val="18"/>
          <w:szCs w:val="18"/>
        </w:rPr>
      </w:pPr>
      <w:r w:rsidRPr="00055CD5">
        <w:rPr>
          <w:rFonts w:ascii="Verdana" w:hAnsi="Verdana"/>
          <w:bCs/>
          <w:i/>
          <w:sz w:val="18"/>
          <w:szCs w:val="18"/>
        </w:rPr>
        <w:t>Importeren uit Proteus 2</w:t>
      </w:r>
      <w:r w:rsidRPr="00055CD5">
        <w:rPr>
          <w:rFonts w:ascii="Verdana" w:hAnsi="Verdana"/>
          <w:bCs/>
          <w:sz w:val="18"/>
          <w:szCs w:val="18"/>
        </w:rPr>
        <w:br/>
      </w:r>
      <w:r w:rsidRPr="00055CD5">
        <w:rPr>
          <w:rFonts w:ascii="Verdana" w:hAnsi="Verdana"/>
          <w:iCs/>
          <w:sz w:val="18"/>
          <w:szCs w:val="18"/>
        </w:rPr>
        <w:t>Importeren uit Proteus 2 is niet meer mogelijk onder Proteus 4. Proteus 2 files kunnen in Proteus 3.3 geïmporteerd worden en daarna geopend worden in Proteus 4. Om deze reden blijft Proteus 3.3 als download beschikbaar.</w:t>
      </w:r>
    </w:p>
    <w:p w:rsidR="00945AC0" w:rsidRPr="00055CD5" w:rsidRDefault="00945AC0" w:rsidP="00AC041E">
      <w:pPr>
        <w:pStyle w:val="Lijstalinea"/>
        <w:numPr>
          <w:ilvl w:val="0"/>
          <w:numId w:val="7"/>
        </w:numPr>
        <w:rPr>
          <w:rFonts w:ascii="Verdana" w:hAnsi="Verdana"/>
          <w:i/>
          <w:sz w:val="18"/>
          <w:szCs w:val="18"/>
        </w:rPr>
      </w:pPr>
      <w:r w:rsidRPr="00055CD5">
        <w:rPr>
          <w:rFonts w:ascii="Verdana" w:hAnsi="Verdana"/>
          <w:i/>
          <w:sz w:val="18"/>
          <w:szCs w:val="18"/>
        </w:rPr>
        <w:t>Openen van een Proteus 3.3 file in Proteus 4</w:t>
      </w:r>
    </w:p>
    <w:p w:rsidR="00945AC0" w:rsidRPr="00055CD5" w:rsidRDefault="00945AC0" w:rsidP="00945AC0">
      <w:pPr>
        <w:pStyle w:val="Lijstalinea"/>
        <w:numPr>
          <w:ilvl w:val="0"/>
          <w:numId w:val="5"/>
        </w:numPr>
        <w:spacing w:line="276" w:lineRule="auto"/>
        <w:rPr>
          <w:rFonts w:ascii="Verdana" w:hAnsi="Verdana"/>
          <w:iCs/>
          <w:sz w:val="18"/>
          <w:szCs w:val="18"/>
        </w:rPr>
      </w:pPr>
      <w:r w:rsidRPr="00055CD5">
        <w:rPr>
          <w:rFonts w:ascii="Verdana" w:hAnsi="Verdana"/>
          <w:iCs/>
          <w:sz w:val="18"/>
          <w:szCs w:val="18"/>
        </w:rPr>
        <w:t xml:space="preserve">Indien een Proteus 3.3. bestand </w:t>
      </w:r>
      <w:r w:rsidRPr="00055CD5">
        <w:rPr>
          <w:rFonts w:ascii="Verdana" w:hAnsi="Verdana"/>
          <w:iCs/>
          <w:sz w:val="18"/>
          <w:szCs w:val="18"/>
          <w:highlight w:val="yellow"/>
        </w:rPr>
        <w:t>word</w:t>
      </w:r>
      <w:r w:rsidRPr="00055CD5">
        <w:rPr>
          <w:rFonts w:ascii="Verdana" w:hAnsi="Verdana"/>
          <w:iCs/>
          <w:sz w:val="18"/>
          <w:szCs w:val="18"/>
        </w:rPr>
        <w:t>t geopend in Proteus 4 verschijnt een waarschuwing die aangeeft dat indien het bestand geopend wordt in Proteus 4, het bestand niet meer kan worden geopend in Proteus 3.3.</w:t>
      </w:r>
    </w:p>
    <w:p w:rsidR="00945AC0" w:rsidRPr="00055CD5" w:rsidRDefault="00945AC0" w:rsidP="00945AC0">
      <w:pPr>
        <w:pStyle w:val="Lijstalinea"/>
        <w:numPr>
          <w:ilvl w:val="0"/>
          <w:numId w:val="5"/>
        </w:numPr>
        <w:spacing w:line="276" w:lineRule="auto"/>
        <w:rPr>
          <w:rFonts w:ascii="Verdana" w:hAnsi="Verdana"/>
          <w:iCs/>
          <w:sz w:val="18"/>
          <w:szCs w:val="18"/>
        </w:rPr>
      </w:pPr>
      <w:r w:rsidRPr="00055CD5">
        <w:rPr>
          <w:rFonts w:ascii="Verdana" w:hAnsi="Verdana"/>
          <w:iCs/>
          <w:sz w:val="18"/>
          <w:szCs w:val="18"/>
        </w:rPr>
        <w:t xml:space="preserve">Bij het openen Proteus 3.3 bestanden wordt, indien niet aanwezig, standaard een (default) waarde voor de </w:t>
      </w:r>
      <w:proofErr w:type="spellStart"/>
      <w:r w:rsidRPr="00055CD5">
        <w:rPr>
          <w:rFonts w:ascii="Verdana" w:hAnsi="Verdana"/>
          <w:iCs/>
          <w:sz w:val="18"/>
          <w:szCs w:val="18"/>
        </w:rPr>
        <w:t>de</w:t>
      </w:r>
      <w:proofErr w:type="spellEnd"/>
      <w:r w:rsidRPr="00055CD5">
        <w:rPr>
          <w:rFonts w:ascii="Verdana" w:hAnsi="Verdana"/>
          <w:iCs/>
          <w:sz w:val="18"/>
          <w:szCs w:val="18"/>
        </w:rPr>
        <w:t xml:space="preserve"> IC50</w:t>
      </w:r>
      <w:r w:rsidRPr="00055CD5">
        <w:rPr>
          <w:rFonts w:ascii="Verdana" w:hAnsi="Verdana"/>
          <w:iCs/>
          <w:sz w:val="18"/>
          <w:szCs w:val="18"/>
          <w:vertAlign w:val="subscript"/>
        </w:rPr>
        <w:t>bact</w:t>
      </w:r>
      <w:r w:rsidRPr="00055CD5">
        <w:rPr>
          <w:rFonts w:ascii="Verdana" w:hAnsi="Verdana"/>
          <w:iCs/>
          <w:sz w:val="18"/>
          <w:szCs w:val="18"/>
        </w:rPr>
        <w:t xml:space="preserve"> van de gebruikte stoffen ingevuld. Deze waarde wordt geschat op 10 maal de LC50-, EC50- of IC50</w:t>
      </w:r>
      <w:r w:rsidRPr="00055CD5">
        <w:rPr>
          <w:rFonts w:ascii="Verdana" w:hAnsi="Verdana"/>
          <w:iCs/>
          <w:sz w:val="18"/>
          <w:szCs w:val="18"/>
          <w:vertAlign w:val="subscript"/>
        </w:rPr>
        <w:t>alg</w:t>
      </w:r>
      <w:r w:rsidRPr="00055CD5">
        <w:rPr>
          <w:rFonts w:ascii="Verdana" w:hAnsi="Verdana"/>
          <w:iCs/>
          <w:sz w:val="18"/>
          <w:szCs w:val="18"/>
        </w:rPr>
        <w:t>- waarde van de stof. Indien onjuist kan de gebruiker altijd de juiste waarde invullen. Dit wordt gedaan om stoffen verplicht aan een toetsing te onderwerpen bij de (eventuele) aanwezigheid van BWZI of RWZI.</w:t>
      </w:r>
    </w:p>
    <w:p w:rsidR="00945AC0" w:rsidRPr="00055CD5" w:rsidRDefault="00945AC0" w:rsidP="00945AC0">
      <w:pPr>
        <w:pStyle w:val="Lijstalinea"/>
        <w:numPr>
          <w:ilvl w:val="0"/>
          <w:numId w:val="5"/>
        </w:numPr>
        <w:spacing w:line="276" w:lineRule="auto"/>
        <w:rPr>
          <w:rFonts w:ascii="Verdana" w:hAnsi="Verdana"/>
          <w:iCs/>
          <w:sz w:val="18"/>
          <w:szCs w:val="18"/>
        </w:rPr>
      </w:pPr>
      <w:r w:rsidRPr="00055CD5">
        <w:rPr>
          <w:rFonts w:ascii="Verdana" w:hAnsi="Verdana"/>
          <w:iCs/>
          <w:sz w:val="18"/>
          <w:szCs w:val="18"/>
        </w:rPr>
        <w:t xml:space="preserve">Bij het openen van Proteus 3.3 bestanden wordt standaard een check uitgevoerd of de ingevoerde namen uniek zijn. Dit betekent dat in Proteus 4 elke Unit of installatie een unieke naam moet hebben. Deze namen kunnen worden ingevuld in de gegevensbrowser van unit of installatie. Het niet toekennen van unieke namen resulteert in het </w:t>
      </w:r>
      <w:proofErr w:type="spellStart"/>
      <w:r w:rsidRPr="00055CD5">
        <w:rPr>
          <w:rFonts w:ascii="Verdana" w:hAnsi="Verdana"/>
          <w:iCs/>
          <w:sz w:val="18"/>
          <w:szCs w:val="18"/>
        </w:rPr>
        <w:t>flashen</w:t>
      </w:r>
      <w:proofErr w:type="spellEnd"/>
      <w:r w:rsidRPr="00055CD5">
        <w:rPr>
          <w:rFonts w:ascii="Verdana" w:hAnsi="Verdana"/>
          <w:iCs/>
          <w:sz w:val="18"/>
          <w:szCs w:val="18"/>
        </w:rPr>
        <w:t xml:space="preserve"> van de unit en er zal geen berekening worden uitgevoerd.</w:t>
      </w:r>
    </w:p>
    <w:p w:rsidR="00945AC0" w:rsidRPr="00055CD5" w:rsidRDefault="00945AC0" w:rsidP="00A90F35">
      <w:pPr>
        <w:pStyle w:val="Lijstalinea"/>
        <w:numPr>
          <w:ilvl w:val="0"/>
          <w:numId w:val="7"/>
        </w:numPr>
        <w:rPr>
          <w:rFonts w:ascii="Verdana" w:hAnsi="Verdana"/>
          <w:bCs/>
          <w:sz w:val="18"/>
          <w:szCs w:val="18"/>
        </w:rPr>
      </w:pPr>
      <w:r w:rsidRPr="00055CD5">
        <w:rPr>
          <w:rFonts w:ascii="Verdana" w:hAnsi="Verdana"/>
          <w:i/>
          <w:sz w:val="18"/>
          <w:szCs w:val="18"/>
        </w:rPr>
        <w:t>RWZI is geen watersysteem meer in Proteus 4</w:t>
      </w:r>
      <w:r w:rsidR="00AC041E" w:rsidRPr="00055CD5">
        <w:rPr>
          <w:rFonts w:ascii="Verdana" w:hAnsi="Verdana"/>
          <w:sz w:val="18"/>
          <w:szCs w:val="18"/>
        </w:rPr>
        <w:br/>
      </w:r>
      <w:r w:rsidRPr="00055CD5">
        <w:rPr>
          <w:rFonts w:ascii="Verdana" w:hAnsi="Verdana"/>
          <w:bCs/>
          <w:sz w:val="18"/>
          <w:szCs w:val="18"/>
        </w:rPr>
        <w:t>Dat betekent dat na een RWZI altijd een watersysteem gekozen moet worden als eindpunt van een afstroomroute.</w:t>
      </w:r>
    </w:p>
    <w:p w:rsidR="00945AC0" w:rsidRPr="00055CD5" w:rsidRDefault="00945AC0" w:rsidP="00350B8A">
      <w:pPr>
        <w:pStyle w:val="Lijstalinea"/>
        <w:numPr>
          <w:ilvl w:val="0"/>
          <w:numId w:val="7"/>
        </w:numPr>
        <w:rPr>
          <w:rFonts w:ascii="Verdana" w:hAnsi="Verdana"/>
          <w:sz w:val="18"/>
          <w:szCs w:val="18"/>
        </w:rPr>
      </w:pPr>
      <w:r w:rsidRPr="00055CD5">
        <w:rPr>
          <w:rFonts w:ascii="Verdana" w:hAnsi="Verdana"/>
          <w:i/>
          <w:sz w:val="18"/>
          <w:szCs w:val="18"/>
        </w:rPr>
        <w:t>Tussenliggende resultaten worden weergegeven</w:t>
      </w:r>
      <w:r w:rsidR="00AC041E" w:rsidRPr="00055CD5">
        <w:rPr>
          <w:rFonts w:ascii="Verdana" w:hAnsi="Verdana"/>
          <w:sz w:val="18"/>
          <w:szCs w:val="18"/>
        </w:rPr>
        <w:br/>
      </w:r>
      <w:r w:rsidRPr="00055CD5">
        <w:rPr>
          <w:rFonts w:ascii="Verdana" w:hAnsi="Verdana"/>
          <w:sz w:val="18"/>
          <w:szCs w:val="18"/>
        </w:rPr>
        <w:t>Door in een effect op de Afstroomroute te klikken toont Proteus een overzicht van het verloop in de QMFT voor het betreffende effect:</w:t>
      </w:r>
    </w:p>
    <w:p w:rsidR="00945AC0" w:rsidRPr="00055CD5" w:rsidRDefault="00945AC0" w:rsidP="005761E6">
      <w:pPr>
        <w:pStyle w:val="Lijstalinea"/>
        <w:numPr>
          <w:ilvl w:val="0"/>
          <w:numId w:val="7"/>
        </w:numPr>
        <w:spacing w:line="276" w:lineRule="auto"/>
        <w:rPr>
          <w:rFonts w:ascii="Verdana" w:hAnsi="Verdana"/>
          <w:color w:val="121212"/>
          <w:sz w:val="18"/>
          <w:szCs w:val="18"/>
          <w:lang w:eastAsia="nl-NL"/>
        </w:rPr>
      </w:pPr>
      <w:r w:rsidRPr="00055CD5">
        <w:rPr>
          <w:rFonts w:ascii="Verdana" w:hAnsi="Verdana"/>
          <w:bCs/>
          <w:i/>
          <w:color w:val="121212"/>
          <w:sz w:val="18"/>
          <w:szCs w:val="18"/>
          <w:lang w:eastAsia="nl-NL"/>
        </w:rPr>
        <w:t>Van BZV naar TZV</w:t>
      </w:r>
      <w:r w:rsidR="00AC041E" w:rsidRPr="00055CD5">
        <w:rPr>
          <w:rFonts w:ascii="Verdana" w:hAnsi="Verdana"/>
          <w:bCs/>
          <w:color w:val="121212"/>
          <w:sz w:val="18"/>
          <w:szCs w:val="18"/>
          <w:lang w:eastAsia="nl-NL"/>
        </w:rPr>
        <w:br/>
      </w:r>
      <w:r w:rsidRPr="00055CD5">
        <w:rPr>
          <w:rFonts w:ascii="Verdana" w:hAnsi="Verdana"/>
          <w:color w:val="121212"/>
          <w:sz w:val="18"/>
          <w:szCs w:val="18"/>
          <w:lang w:eastAsia="nl-NL"/>
        </w:rPr>
        <w:t xml:space="preserve">In Proteus 4 is de keuze gemaakt om de stofeigenschap BZV te vervangen door de TZV. Met zuurstofdepletie veroorzakende stoffen worden met name organische stoffen bedoeld met een hoge BZV-waarde. Wanneer het BZV-getal niet kan worden gevonden in de literatuur, moet deze op een andere manier worden bepaald. Dat kan het beste door het uitvoeren van de BZV-bepaling. Een andere benadering is gebruik te maken van het theoretische zuurstofverbruik of totaal zuurstofverbruik  (in Proteus 4 aangeduid als TZV. De afkorting TZV wordt meestal niet hiervoor gebruikt en zal in een latere versie kunnen worden vervangen door de meer gebruikelijke </w:t>
      </w:r>
      <w:proofErr w:type="spellStart"/>
      <w:r w:rsidRPr="00055CD5">
        <w:rPr>
          <w:rFonts w:ascii="Verdana" w:hAnsi="Verdana"/>
          <w:color w:val="121212"/>
          <w:sz w:val="18"/>
          <w:szCs w:val="18"/>
          <w:lang w:eastAsia="nl-NL"/>
        </w:rPr>
        <w:t>angelsaksische</w:t>
      </w:r>
      <w:proofErr w:type="spellEnd"/>
      <w:r w:rsidRPr="00055CD5">
        <w:rPr>
          <w:rFonts w:ascii="Verdana" w:hAnsi="Verdana"/>
          <w:color w:val="121212"/>
          <w:sz w:val="18"/>
          <w:szCs w:val="18"/>
          <w:lang w:eastAsia="nl-NL"/>
        </w:rPr>
        <w:t xml:space="preserve"> afkorting voor </w:t>
      </w:r>
      <w:proofErr w:type="spellStart"/>
      <w:r w:rsidRPr="00055CD5">
        <w:rPr>
          <w:rFonts w:ascii="Verdana" w:hAnsi="Verdana"/>
          <w:color w:val="121212"/>
          <w:sz w:val="18"/>
          <w:szCs w:val="18"/>
          <w:lang w:eastAsia="nl-NL"/>
        </w:rPr>
        <w:t>Theoretical</w:t>
      </w:r>
      <w:proofErr w:type="spellEnd"/>
      <w:r w:rsidRPr="00055CD5">
        <w:rPr>
          <w:rFonts w:ascii="Verdana" w:hAnsi="Verdana"/>
          <w:color w:val="121212"/>
          <w:sz w:val="18"/>
          <w:szCs w:val="18"/>
          <w:lang w:eastAsia="nl-NL"/>
        </w:rPr>
        <w:t xml:space="preserve"> </w:t>
      </w:r>
      <w:proofErr w:type="spellStart"/>
      <w:r w:rsidRPr="00055CD5">
        <w:rPr>
          <w:rFonts w:ascii="Verdana" w:hAnsi="Verdana"/>
          <w:color w:val="121212"/>
          <w:sz w:val="18"/>
          <w:szCs w:val="18"/>
          <w:lang w:eastAsia="nl-NL"/>
        </w:rPr>
        <w:t>Oxygen</w:t>
      </w:r>
      <w:proofErr w:type="spellEnd"/>
      <w:r w:rsidRPr="00055CD5">
        <w:rPr>
          <w:rFonts w:ascii="Verdana" w:hAnsi="Verdana"/>
          <w:color w:val="121212"/>
          <w:sz w:val="18"/>
          <w:szCs w:val="18"/>
          <w:lang w:eastAsia="nl-NL"/>
        </w:rPr>
        <w:t xml:space="preserve"> </w:t>
      </w:r>
      <w:proofErr w:type="spellStart"/>
      <w:r w:rsidRPr="00055CD5">
        <w:rPr>
          <w:rFonts w:ascii="Verdana" w:hAnsi="Verdana"/>
          <w:color w:val="121212"/>
          <w:sz w:val="18"/>
          <w:szCs w:val="18"/>
          <w:lang w:eastAsia="nl-NL"/>
        </w:rPr>
        <w:t>Demand</w:t>
      </w:r>
      <w:proofErr w:type="spellEnd"/>
      <w:r w:rsidRPr="00055CD5">
        <w:rPr>
          <w:rFonts w:ascii="Verdana" w:hAnsi="Verdana"/>
          <w:color w:val="121212"/>
          <w:sz w:val="18"/>
          <w:szCs w:val="18"/>
          <w:lang w:eastAsia="nl-NL"/>
        </w:rPr>
        <w:t xml:space="preserve">: </w:t>
      </w:r>
      <w:proofErr w:type="spellStart"/>
      <w:r w:rsidRPr="00055CD5">
        <w:rPr>
          <w:rFonts w:ascii="Verdana" w:hAnsi="Verdana"/>
          <w:color w:val="121212"/>
          <w:sz w:val="18"/>
          <w:szCs w:val="18"/>
          <w:lang w:eastAsia="nl-NL"/>
        </w:rPr>
        <w:t>ThOD</w:t>
      </w:r>
      <w:proofErr w:type="spellEnd"/>
      <w:r w:rsidRPr="00055CD5">
        <w:rPr>
          <w:rFonts w:ascii="Verdana" w:hAnsi="Verdana"/>
          <w:color w:val="121212"/>
          <w:sz w:val="18"/>
          <w:szCs w:val="18"/>
          <w:lang w:eastAsia="nl-NL"/>
        </w:rPr>
        <w:t>). TZV wordt bepaald uit de formule voor oxidatie van de stof tot CO</w:t>
      </w:r>
      <w:r w:rsidRPr="00055CD5">
        <w:rPr>
          <w:rFonts w:ascii="Verdana" w:hAnsi="Verdana"/>
          <w:color w:val="121212"/>
          <w:sz w:val="18"/>
          <w:szCs w:val="18"/>
          <w:vertAlign w:val="subscript"/>
          <w:lang w:eastAsia="nl-NL"/>
        </w:rPr>
        <w:t>2</w:t>
      </w:r>
      <w:r w:rsidRPr="00055CD5">
        <w:rPr>
          <w:rFonts w:ascii="Verdana" w:hAnsi="Verdana"/>
          <w:color w:val="121212"/>
          <w:sz w:val="18"/>
          <w:szCs w:val="18"/>
          <w:lang w:eastAsia="nl-NL"/>
        </w:rPr>
        <w:t> en H</w:t>
      </w:r>
      <w:r w:rsidRPr="00055CD5">
        <w:rPr>
          <w:rFonts w:ascii="Verdana" w:hAnsi="Verdana"/>
          <w:color w:val="121212"/>
          <w:sz w:val="18"/>
          <w:szCs w:val="18"/>
          <w:vertAlign w:val="subscript"/>
          <w:lang w:eastAsia="nl-NL"/>
        </w:rPr>
        <w:t>2</w:t>
      </w:r>
      <w:r w:rsidRPr="00055CD5">
        <w:rPr>
          <w:rFonts w:ascii="Verdana" w:hAnsi="Verdana"/>
          <w:color w:val="121212"/>
          <w:sz w:val="18"/>
          <w:szCs w:val="18"/>
          <w:lang w:eastAsia="nl-NL"/>
        </w:rPr>
        <w:t>O. Daarbij wordt ervan uitgegaan dat stikstof niet geoxideerd wordt tot NO</w:t>
      </w:r>
      <w:r w:rsidRPr="00055CD5">
        <w:rPr>
          <w:rFonts w:ascii="Verdana" w:hAnsi="Verdana"/>
          <w:color w:val="121212"/>
          <w:sz w:val="18"/>
          <w:szCs w:val="18"/>
          <w:vertAlign w:val="subscript"/>
          <w:lang w:eastAsia="nl-NL"/>
        </w:rPr>
        <w:t>2</w:t>
      </w:r>
      <w:r w:rsidRPr="00055CD5">
        <w:rPr>
          <w:rFonts w:ascii="Verdana" w:hAnsi="Verdana"/>
          <w:color w:val="121212"/>
          <w:sz w:val="18"/>
          <w:szCs w:val="18"/>
          <w:lang w:eastAsia="nl-NL"/>
        </w:rPr>
        <w:t>, maar tot ammoniak. Ook ammoniak NH</w:t>
      </w:r>
      <w:r w:rsidRPr="00055CD5">
        <w:rPr>
          <w:rFonts w:ascii="Verdana" w:hAnsi="Verdana"/>
          <w:color w:val="121212"/>
          <w:sz w:val="18"/>
          <w:szCs w:val="18"/>
          <w:vertAlign w:val="subscript"/>
          <w:lang w:eastAsia="nl-NL"/>
        </w:rPr>
        <w:t>4</w:t>
      </w:r>
      <w:r w:rsidRPr="00055CD5">
        <w:rPr>
          <w:rFonts w:ascii="Verdana" w:hAnsi="Verdana"/>
          <w:color w:val="121212"/>
          <w:sz w:val="18"/>
          <w:szCs w:val="18"/>
          <w:lang w:eastAsia="nl-NL"/>
        </w:rPr>
        <w:t xml:space="preserve">OH is een stof die in oppervlaktewater een oxidatieproces ondergaat en dus zuurstof consumeert. Maar dat proces verloopt veel trager en wordt daarom niet relevant geacht. Ook in de BZV-bepaling of CZV-bepaling wordt stikstof oxidatie niet meegenomen. </w:t>
      </w:r>
    </w:p>
    <w:p w:rsidR="00945AC0" w:rsidRPr="00055CD5" w:rsidRDefault="00945AC0" w:rsidP="00945AC0">
      <w:pPr>
        <w:rPr>
          <w:szCs w:val="18"/>
        </w:rPr>
      </w:pPr>
    </w:p>
    <w:p w:rsidR="0044373A" w:rsidRPr="00055CD5" w:rsidRDefault="00AC041E" w:rsidP="00055CD5">
      <w:pPr>
        <w:spacing w:line="259" w:lineRule="auto"/>
        <w:rPr>
          <w:b/>
          <w:szCs w:val="18"/>
        </w:rPr>
      </w:pPr>
      <w:r w:rsidRPr="00055CD5">
        <w:rPr>
          <w:szCs w:val="18"/>
        </w:rPr>
        <w:br w:type="page"/>
      </w:r>
      <w:bookmarkStart w:id="1" w:name="_Toc63162292"/>
      <w:r w:rsidR="0044373A" w:rsidRPr="00055CD5">
        <w:rPr>
          <w:b/>
          <w:szCs w:val="18"/>
        </w:rPr>
        <w:lastRenderedPageBreak/>
        <w:t>Wijzigingen in versie 4.0 t.o.v. Proteus 3.3</w:t>
      </w:r>
      <w:bookmarkEnd w:id="1"/>
    </w:p>
    <w:p w:rsidR="0044373A" w:rsidRPr="00055CD5" w:rsidRDefault="0044373A" w:rsidP="00055CD5">
      <w:pPr>
        <w:pStyle w:val="Plattetekst"/>
        <w:jc w:val="left"/>
        <w:rPr>
          <w:rFonts w:ascii="Verdana" w:hAnsi="Verdana"/>
          <w:sz w:val="18"/>
          <w:szCs w:val="18"/>
        </w:rPr>
      </w:pPr>
    </w:p>
    <w:tbl>
      <w:tblPr>
        <w:tblW w:w="9440" w:type="dxa"/>
        <w:tblLook w:val="04A0" w:firstRow="1" w:lastRow="0" w:firstColumn="1" w:lastColumn="0" w:noHBand="0" w:noVBand="1"/>
      </w:tblPr>
      <w:tblGrid>
        <w:gridCol w:w="707"/>
        <w:gridCol w:w="5373"/>
        <w:gridCol w:w="3380"/>
      </w:tblGrid>
      <w:tr w:rsidR="0044373A" w:rsidRPr="00055CD5" w:rsidTr="00F1344C">
        <w:trPr>
          <w:trHeight w:val="300"/>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r w:rsidRPr="00055CD5">
              <w:rPr>
                <w:b/>
                <w:bCs/>
                <w:color w:val="000000"/>
                <w:szCs w:val="18"/>
                <w:lang w:val="en-US"/>
              </w:rPr>
              <w:t xml:space="preserve">Proteus 4.0 </w:t>
            </w:r>
            <w:proofErr w:type="spellStart"/>
            <w:r w:rsidRPr="00055CD5">
              <w:rPr>
                <w:b/>
                <w:bCs/>
                <w:color w:val="000000"/>
                <w:szCs w:val="18"/>
                <w:lang w:val="en-US"/>
              </w:rPr>
              <w:t>Fase</w:t>
            </w:r>
            <w:proofErr w:type="spellEnd"/>
            <w:r w:rsidRPr="00055CD5">
              <w:rPr>
                <w:b/>
                <w:bCs/>
                <w:color w:val="000000"/>
                <w:szCs w:val="18"/>
                <w:lang w:val="en-US"/>
              </w:rPr>
              <w:t xml:space="preserve"> 1 </w:t>
            </w:r>
            <w:proofErr w:type="spellStart"/>
            <w:r w:rsidRPr="00055CD5">
              <w:rPr>
                <w:b/>
                <w:bCs/>
                <w:color w:val="000000"/>
                <w:szCs w:val="18"/>
                <w:lang w:val="en-US"/>
              </w:rPr>
              <w:t>eisen</w:t>
            </w:r>
            <w:proofErr w:type="spellEnd"/>
          </w:p>
        </w:tc>
        <w:tc>
          <w:tcPr>
            <w:tcW w:w="3380" w:type="dxa"/>
            <w:tcBorders>
              <w:top w:val="nil"/>
              <w:left w:val="nil"/>
              <w:bottom w:val="nil"/>
              <w:right w:val="nil"/>
            </w:tcBorders>
            <w:shd w:val="clear" w:color="auto" w:fill="auto"/>
            <w:noWrap/>
            <w:vAlign w:val="bottom"/>
            <w:hideMark/>
          </w:tcPr>
          <w:p w:rsidR="0044373A" w:rsidRPr="00055CD5" w:rsidRDefault="0044373A" w:rsidP="00055CD5">
            <w:pPr>
              <w:rPr>
                <w:b/>
                <w:bCs/>
                <w:color w:val="000000"/>
                <w:szCs w:val="18"/>
                <w:lang w:val="en-US"/>
              </w:rPr>
            </w:pPr>
          </w:p>
        </w:tc>
      </w:tr>
      <w:tr w:rsidR="0044373A" w:rsidRPr="00055CD5" w:rsidTr="00F1344C">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r w:rsidRPr="00055CD5">
              <w:rPr>
                <w:b/>
                <w:bCs/>
                <w:color w:val="000000"/>
                <w:szCs w:val="18"/>
                <w:lang w:val="en-US"/>
              </w:rPr>
              <w:t>Item</w:t>
            </w:r>
          </w:p>
        </w:tc>
        <w:tc>
          <w:tcPr>
            <w:tcW w:w="5373" w:type="dxa"/>
            <w:tcBorders>
              <w:top w:val="nil"/>
              <w:left w:val="nil"/>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proofErr w:type="spellStart"/>
            <w:r w:rsidRPr="00055CD5">
              <w:rPr>
                <w:b/>
                <w:bCs/>
                <w:color w:val="000000"/>
                <w:szCs w:val="18"/>
                <w:lang w:val="en-US"/>
              </w:rPr>
              <w:t>Onderwerp</w:t>
            </w:r>
            <w:proofErr w:type="spellEnd"/>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proofErr w:type="spellStart"/>
            <w:r w:rsidRPr="00055CD5">
              <w:rPr>
                <w:b/>
                <w:bCs/>
                <w:color w:val="000000"/>
                <w:szCs w:val="18"/>
                <w:lang w:val="en-US"/>
              </w:rPr>
              <w:t>Uitleg</w:t>
            </w:r>
            <w:proofErr w:type="spellEnd"/>
          </w:p>
        </w:tc>
      </w:tr>
      <w:tr w:rsidR="0044373A" w:rsidRPr="00055CD5" w:rsidTr="00F1344C">
        <w:trPr>
          <w:trHeight w:val="1369"/>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1</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 xml:space="preserve">Toon QMFT-resultaat van elke unit van een gekozen </w:t>
            </w:r>
            <w:proofErr w:type="spellStart"/>
            <w:r w:rsidRPr="00055CD5">
              <w:rPr>
                <w:color w:val="000000"/>
                <w:szCs w:val="18"/>
              </w:rPr>
              <w:t>berekeningpad</w:t>
            </w:r>
            <w:proofErr w:type="spellEnd"/>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In het numerieke resultaat kan de gebruiker op de afstroomroute klikken. Proteus toont daarna een dialoog waarin het verloop van QMFT getoond wordt.</w:t>
            </w:r>
          </w:p>
        </w:tc>
      </w:tr>
      <w:tr w:rsidR="0044373A" w:rsidRPr="00055CD5" w:rsidTr="00F1344C">
        <w:trPr>
          <w:trHeight w:val="99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2</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Optie om berekening alleen uit te voeren op een deelselectie van het totale netwerk</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In het netwerk kan een aantal units geselecteerd worden waarvoor specifiek de berekening uitgevoerd wordt.</w:t>
            </w:r>
          </w:p>
        </w:tc>
      </w:tr>
      <w:tr w:rsidR="0044373A" w:rsidRPr="00055CD5" w:rsidTr="00F1344C">
        <w:trPr>
          <w:trHeight w:val="9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3</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Contexthelpfunctie opent naar de betreffende unit</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De helpfunctie opende niet op de helpfunctie van de  geselecteerde unit</w:t>
            </w:r>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4</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TZV berekening is gecontroleerd en aangepast</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De dispersie en TZV afbraak in de verontreinigde plug worden correct in 2 dimensies berekend. De effecten van de beweging van de plug door het watersysteem worden nu meegenomen in het eindresultaat.</w:t>
            </w:r>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5</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r w:rsidRPr="00055CD5">
              <w:rPr>
                <w:color w:val="000000"/>
                <w:szCs w:val="18"/>
                <w:lang w:val="en-US"/>
              </w:rPr>
              <w:t xml:space="preserve">Windows 10 </w:t>
            </w:r>
            <w:proofErr w:type="spellStart"/>
            <w:r w:rsidRPr="00055CD5">
              <w:rPr>
                <w:color w:val="000000"/>
                <w:szCs w:val="18"/>
                <w:lang w:val="en-US"/>
              </w:rPr>
              <w:t>ondersteuning</w:t>
            </w:r>
            <w:proofErr w:type="spellEnd"/>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Proteus werkt nu onder Windows 7, 8 en 10</w:t>
            </w:r>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6</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r w:rsidRPr="00055CD5">
              <w:rPr>
                <w:color w:val="000000"/>
                <w:szCs w:val="18"/>
                <w:lang w:val="en-US"/>
              </w:rPr>
              <w:t xml:space="preserve">Proteus 2 </w:t>
            </w:r>
            <w:proofErr w:type="spellStart"/>
            <w:r w:rsidRPr="00055CD5">
              <w:rPr>
                <w:color w:val="000000"/>
                <w:szCs w:val="18"/>
                <w:lang w:val="en-US"/>
              </w:rPr>
              <w:t>ondersteuning</w:t>
            </w:r>
            <w:proofErr w:type="spellEnd"/>
            <w:r w:rsidRPr="00055CD5">
              <w:rPr>
                <w:color w:val="000000"/>
                <w:szCs w:val="18"/>
                <w:lang w:val="en-US"/>
              </w:rPr>
              <w:t xml:space="preserve"> is </w:t>
            </w:r>
            <w:proofErr w:type="spellStart"/>
            <w:r w:rsidRPr="00055CD5">
              <w:rPr>
                <w:color w:val="000000"/>
                <w:szCs w:val="18"/>
                <w:lang w:val="en-US"/>
              </w:rPr>
              <w:t>verwijderd</w:t>
            </w:r>
            <w:proofErr w:type="spellEnd"/>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De import functie van Proteus 2 projecten is verwijderd.</w:t>
            </w:r>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7</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P-Splitter werkt bij andere taalinstellingen van het OS</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r w:rsidRPr="00055CD5">
              <w:rPr>
                <w:color w:val="000000"/>
                <w:szCs w:val="18"/>
              </w:rPr>
              <w:t xml:space="preserve">Hierbij trad een fout op. </w:t>
            </w:r>
            <w:proofErr w:type="spellStart"/>
            <w:r w:rsidRPr="00055CD5">
              <w:rPr>
                <w:color w:val="000000"/>
                <w:szCs w:val="18"/>
                <w:lang w:val="en-US"/>
              </w:rPr>
              <w:t>Deze</w:t>
            </w:r>
            <w:proofErr w:type="spellEnd"/>
            <w:r w:rsidRPr="00055CD5">
              <w:rPr>
                <w:color w:val="000000"/>
                <w:szCs w:val="18"/>
                <w:lang w:val="en-US"/>
              </w:rPr>
              <w:t xml:space="preserve"> is nu </w:t>
            </w:r>
            <w:proofErr w:type="spellStart"/>
            <w:r w:rsidRPr="00055CD5">
              <w:rPr>
                <w:color w:val="000000"/>
                <w:szCs w:val="18"/>
                <w:lang w:val="en-US"/>
              </w:rPr>
              <w:t>hersteld</w:t>
            </w:r>
            <w:proofErr w:type="spellEnd"/>
            <w:r w:rsidRPr="00055CD5">
              <w:rPr>
                <w:color w:val="000000"/>
                <w:szCs w:val="18"/>
                <w:lang w:val="en-US"/>
              </w:rPr>
              <w:t>.</w:t>
            </w:r>
          </w:p>
        </w:tc>
      </w:tr>
      <w:tr w:rsidR="0044373A" w:rsidRPr="00055CD5" w:rsidTr="00F1344C">
        <w:trPr>
          <w:trHeight w:val="3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8</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Resultaat grafiek afgekapt bij risico frequentie &lt; 10-2</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 </w:t>
            </w:r>
          </w:p>
        </w:tc>
      </w:tr>
      <w:tr w:rsidR="0044373A" w:rsidRPr="00055CD5" w:rsidTr="00F1344C">
        <w:trPr>
          <w:trHeight w:val="3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9</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Scenario duur "Overslag weg" unit is te lang</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proofErr w:type="spellStart"/>
            <w:r w:rsidRPr="00055CD5">
              <w:rPr>
                <w:color w:val="000000"/>
                <w:szCs w:val="18"/>
                <w:lang w:val="en-US"/>
              </w:rPr>
              <w:t>Gecorrigeerd</w:t>
            </w:r>
            <w:proofErr w:type="spellEnd"/>
            <w:r w:rsidRPr="00055CD5">
              <w:rPr>
                <w:color w:val="000000"/>
                <w:szCs w:val="18"/>
                <w:lang w:val="en-US"/>
              </w:rPr>
              <w:t xml:space="preserve"> in </w:t>
            </w:r>
            <w:proofErr w:type="spellStart"/>
            <w:r w:rsidRPr="00055CD5">
              <w:rPr>
                <w:color w:val="000000"/>
                <w:szCs w:val="18"/>
                <w:lang w:val="en-US"/>
              </w:rPr>
              <w:t>deze</w:t>
            </w:r>
            <w:proofErr w:type="spellEnd"/>
            <w:r w:rsidRPr="00055CD5">
              <w:rPr>
                <w:color w:val="000000"/>
                <w:szCs w:val="18"/>
                <w:lang w:val="en-US"/>
              </w:rPr>
              <w:t xml:space="preserve"> </w:t>
            </w:r>
            <w:proofErr w:type="spellStart"/>
            <w:r w:rsidRPr="00055CD5">
              <w:rPr>
                <w:color w:val="000000"/>
                <w:szCs w:val="18"/>
                <w:lang w:val="en-US"/>
              </w:rPr>
              <w:t>versie</w:t>
            </w:r>
            <w:proofErr w:type="spellEnd"/>
          </w:p>
        </w:tc>
      </w:tr>
      <w:tr w:rsidR="0044373A" w:rsidRPr="00055CD5" w:rsidTr="00F1344C">
        <w:trPr>
          <w:trHeight w:val="3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10</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Proteus 3.2 project leest mengsel incorrect in</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proofErr w:type="spellStart"/>
            <w:r w:rsidRPr="00055CD5">
              <w:rPr>
                <w:color w:val="000000"/>
                <w:szCs w:val="18"/>
                <w:lang w:val="en-US"/>
              </w:rPr>
              <w:t>Gecorrigeerd</w:t>
            </w:r>
            <w:proofErr w:type="spellEnd"/>
            <w:r w:rsidRPr="00055CD5">
              <w:rPr>
                <w:color w:val="000000"/>
                <w:szCs w:val="18"/>
                <w:lang w:val="en-US"/>
              </w:rPr>
              <w:t xml:space="preserve"> in </w:t>
            </w:r>
            <w:proofErr w:type="spellStart"/>
            <w:r w:rsidRPr="00055CD5">
              <w:rPr>
                <w:color w:val="000000"/>
                <w:szCs w:val="18"/>
                <w:lang w:val="en-US"/>
              </w:rPr>
              <w:t>deze</w:t>
            </w:r>
            <w:proofErr w:type="spellEnd"/>
            <w:r w:rsidRPr="00055CD5">
              <w:rPr>
                <w:color w:val="000000"/>
                <w:szCs w:val="18"/>
                <w:lang w:val="en-US"/>
              </w:rPr>
              <w:t xml:space="preserve"> </w:t>
            </w:r>
            <w:proofErr w:type="spellStart"/>
            <w:r w:rsidRPr="00055CD5">
              <w:rPr>
                <w:color w:val="000000"/>
                <w:szCs w:val="18"/>
                <w:lang w:val="en-US"/>
              </w:rPr>
              <w:t>versie</w:t>
            </w:r>
            <w:proofErr w:type="spellEnd"/>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11</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 xml:space="preserve">Fout in berekening volumecontaminatie zeer toxische stoffen </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proofErr w:type="spellStart"/>
            <w:r w:rsidRPr="00055CD5">
              <w:rPr>
                <w:color w:val="000000"/>
                <w:szCs w:val="18"/>
                <w:lang w:val="en-US"/>
              </w:rPr>
              <w:t>Gecorrigeerd</w:t>
            </w:r>
            <w:proofErr w:type="spellEnd"/>
            <w:r w:rsidRPr="00055CD5">
              <w:rPr>
                <w:color w:val="000000"/>
                <w:szCs w:val="18"/>
                <w:lang w:val="en-US"/>
              </w:rPr>
              <w:t xml:space="preserve"> in </w:t>
            </w:r>
            <w:proofErr w:type="spellStart"/>
            <w:r w:rsidRPr="00055CD5">
              <w:rPr>
                <w:color w:val="000000"/>
                <w:szCs w:val="18"/>
                <w:lang w:val="en-US"/>
              </w:rPr>
              <w:t>deze</w:t>
            </w:r>
            <w:proofErr w:type="spellEnd"/>
            <w:r w:rsidRPr="00055CD5">
              <w:rPr>
                <w:color w:val="000000"/>
                <w:szCs w:val="18"/>
                <w:lang w:val="en-US"/>
              </w:rPr>
              <w:t xml:space="preserve"> </w:t>
            </w:r>
            <w:proofErr w:type="spellStart"/>
            <w:r w:rsidRPr="00055CD5">
              <w:rPr>
                <w:color w:val="000000"/>
                <w:szCs w:val="18"/>
                <w:lang w:val="en-US"/>
              </w:rPr>
              <w:t>versie</w:t>
            </w:r>
            <w:proofErr w:type="spellEnd"/>
          </w:p>
        </w:tc>
      </w:tr>
      <w:tr w:rsidR="0044373A" w:rsidRPr="00055CD5" w:rsidTr="00F1344C">
        <w:trPr>
          <w:trHeight w:val="6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r w:rsidRPr="00055CD5">
              <w:rPr>
                <w:color w:val="000000"/>
                <w:szCs w:val="18"/>
                <w:lang w:val="en-US"/>
              </w:rPr>
              <w:t>12</w:t>
            </w:r>
          </w:p>
        </w:tc>
        <w:tc>
          <w:tcPr>
            <w:tcW w:w="5373"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rPr>
            </w:pPr>
            <w:r w:rsidRPr="00055CD5">
              <w:rPr>
                <w:color w:val="000000"/>
                <w:szCs w:val="18"/>
              </w:rPr>
              <w:t>Unit "Riool" veroorzaakte in sommige gevallen een fout in de berekening</w:t>
            </w:r>
          </w:p>
        </w:tc>
        <w:tc>
          <w:tcPr>
            <w:tcW w:w="3380" w:type="dxa"/>
            <w:tcBorders>
              <w:top w:val="nil"/>
              <w:left w:val="nil"/>
              <w:bottom w:val="single" w:sz="4" w:space="0" w:color="auto"/>
              <w:right w:val="single" w:sz="4" w:space="0" w:color="auto"/>
            </w:tcBorders>
            <w:shd w:val="clear" w:color="auto" w:fill="auto"/>
            <w:hideMark/>
          </w:tcPr>
          <w:p w:rsidR="0044373A" w:rsidRPr="00055CD5" w:rsidRDefault="0044373A" w:rsidP="00055CD5">
            <w:pPr>
              <w:rPr>
                <w:color w:val="000000"/>
                <w:szCs w:val="18"/>
                <w:lang w:val="en-US"/>
              </w:rPr>
            </w:pPr>
            <w:proofErr w:type="spellStart"/>
            <w:r w:rsidRPr="00055CD5">
              <w:rPr>
                <w:color w:val="000000"/>
                <w:szCs w:val="18"/>
                <w:lang w:val="en-US"/>
              </w:rPr>
              <w:t>Gecorrigeerd</w:t>
            </w:r>
            <w:proofErr w:type="spellEnd"/>
            <w:r w:rsidRPr="00055CD5">
              <w:rPr>
                <w:color w:val="000000"/>
                <w:szCs w:val="18"/>
                <w:lang w:val="en-US"/>
              </w:rPr>
              <w:t xml:space="preserve"> in </w:t>
            </w:r>
            <w:proofErr w:type="spellStart"/>
            <w:r w:rsidRPr="00055CD5">
              <w:rPr>
                <w:color w:val="000000"/>
                <w:szCs w:val="18"/>
                <w:lang w:val="en-US"/>
              </w:rPr>
              <w:t>deze</w:t>
            </w:r>
            <w:proofErr w:type="spellEnd"/>
            <w:r w:rsidRPr="00055CD5">
              <w:rPr>
                <w:color w:val="000000"/>
                <w:szCs w:val="18"/>
                <w:lang w:val="en-US"/>
              </w:rPr>
              <w:t xml:space="preserve"> </w:t>
            </w:r>
            <w:proofErr w:type="spellStart"/>
            <w:r w:rsidRPr="00055CD5">
              <w:rPr>
                <w:color w:val="000000"/>
                <w:szCs w:val="18"/>
                <w:lang w:val="en-US"/>
              </w:rPr>
              <w:t>versie</w:t>
            </w:r>
            <w:proofErr w:type="spellEnd"/>
          </w:p>
        </w:tc>
      </w:tr>
      <w:tr w:rsidR="0044373A" w:rsidRPr="00055CD5" w:rsidTr="00F1344C">
        <w:trPr>
          <w:trHeight w:val="300"/>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p>
        </w:tc>
        <w:tc>
          <w:tcPr>
            <w:tcW w:w="3380" w:type="dxa"/>
            <w:tcBorders>
              <w:top w:val="nil"/>
              <w:left w:val="nil"/>
              <w:bottom w:val="single" w:sz="4" w:space="0" w:color="auto"/>
              <w:right w:val="single" w:sz="4" w:space="0" w:color="auto"/>
            </w:tcBorders>
            <w:shd w:val="clear" w:color="auto" w:fill="auto"/>
            <w:vAlign w:val="bottom"/>
            <w:hideMark/>
          </w:tcPr>
          <w:p w:rsidR="0044373A" w:rsidRPr="00055CD5" w:rsidRDefault="0044373A" w:rsidP="00055CD5">
            <w:pPr>
              <w:rPr>
                <w:color w:val="000000"/>
                <w:szCs w:val="18"/>
                <w:lang w:val="en-US"/>
              </w:rPr>
            </w:pPr>
            <w:r w:rsidRPr="00055CD5">
              <w:rPr>
                <w:color w:val="000000"/>
                <w:szCs w:val="18"/>
                <w:lang w:val="en-US"/>
              </w:rPr>
              <w:t> </w:t>
            </w:r>
          </w:p>
        </w:tc>
      </w:tr>
      <w:tr w:rsidR="0044373A" w:rsidRPr="00055CD5" w:rsidTr="00F1344C">
        <w:trPr>
          <w:trHeight w:val="300"/>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73A" w:rsidRPr="00055CD5" w:rsidRDefault="0044373A" w:rsidP="00055CD5">
            <w:pPr>
              <w:rPr>
                <w:b/>
                <w:bCs/>
                <w:color w:val="000000"/>
                <w:szCs w:val="18"/>
                <w:lang w:val="en-US"/>
              </w:rPr>
            </w:pPr>
          </w:p>
        </w:tc>
        <w:tc>
          <w:tcPr>
            <w:tcW w:w="3380" w:type="dxa"/>
            <w:tcBorders>
              <w:top w:val="nil"/>
              <w:left w:val="nil"/>
              <w:bottom w:val="single" w:sz="4" w:space="0" w:color="auto"/>
              <w:right w:val="single" w:sz="4" w:space="0" w:color="auto"/>
            </w:tcBorders>
            <w:shd w:val="clear" w:color="auto" w:fill="auto"/>
            <w:vAlign w:val="bottom"/>
          </w:tcPr>
          <w:p w:rsidR="0044373A" w:rsidRPr="00055CD5" w:rsidRDefault="0044373A" w:rsidP="00055CD5">
            <w:pPr>
              <w:rPr>
                <w:color w:val="000000"/>
                <w:szCs w:val="18"/>
                <w:lang w:val="en-US"/>
              </w:rPr>
            </w:pPr>
          </w:p>
        </w:tc>
      </w:tr>
      <w:tr w:rsidR="0044373A" w:rsidRPr="00055CD5" w:rsidTr="00F1344C">
        <w:trPr>
          <w:trHeight w:val="300"/>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r w:rsidRPr="00055CD5">
              <w:rPr>
                <w:b/>
                <w:bCs/>
                <w:color w:val="000000"/>
                <w:szCs w:val="18"/>
                <w:lang w:val="en-US"/>
              </w:rPr>
              <w:t xml:space="preserve">Proteus 4.0 </w:t>
            </w:r>
            <w:proofErr w:type="spellStart"/>
            <w:r w:rsidRPr="00055CD5">
              <w:rPr>
                <w:b/>
                <w:bCs/>
                <w:color w:val="000000"/>
                <w:szCs w:val="18"/>
                <w:lang w:val="en-US"/>
              </w:rPr>
              <w:t>Fase</w:t>
            </w:r>
            <w:proofErr w:type="spellEnd"/>
            <w:r w:rsidRPr="00055CD5">
              <w:rPr>
                <w:b/>
                <w:bCs/>
                <w:color w:val="000000"/>
                <w:szCs w:val="18"/>
                <w:lang w:val="en-US"/>
              </w:rPr>
              <w:t xml:space="preserve"> 2 </w:t>
            </w:r>
            <w:proofErr w:type="spellStart"/>
            <w:r w:rsidRPr="00055CD5">
              <w:rPr>
                <w:b/>
                <w:bCs/>
                <w:color w:val="000000"/>
                <w:szCs w:val="18"/>
                <w:lang w:val="en-US"/>
              </w:rPr>
              <w:t>eisen</w:t>
            </w:r>
            <w:proofErr w:type="spellEnd"/>
          </w:p>
        </w:tc>
        <w:tc>
          <w:tcPr>
            <w:tcW w:w="3380" w:type="dxa"/>
            <w:tcBorders>
              <w:top w:val="nil"/>
              <w:left w:val="nil"/>
              <w:bottom w:val="nil"/>
              <w:right w:val="nil"/>
            </w:tcBorders>
            <w:shd w:val="clear" w:color="auto" w:fill="auto"/>
            <w:noWrap/>
            <w:vAlign w:val="bottom"/>
            <w:hideMark/>
          </w:tcPr>
          <w:p w:rsidR="0044373A" w:rsidRPr="00055CD5" w:rsidRDefault="0044373A" w:rsidP="00055CD5">
            <w:pPr>
              <w:rPr>
                <w:b/>
                <w:bCs/>
                <w:color w:val="000000"/>
                <w:szCs w:val="18"/>
                <w:lang w:val="en-US"/>
              </w:rPr>
            </w:pPr>
          </w:p>
        </w:tc>
      </w:tr>
      <w:tr w:rsidR="0044373A" w:rsidRPr="00055CD5" w:rsidTr="00F1344C">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r w:rsidRPr="00055CD5">
              <w:rPr>
                <w:b/>
                <w:bCs/>
                <w:color w:val="000000"/>
                <w:szCs w:val="18"/>
                <w:lang w:val="en-US"/>
              </w:rPr>
              <w:t>Item</w:t>
            </w:r>
          </w:p>
        </w:tc>
        <w:tc>
          <w:tcPr>
            <w:tcW w:w="5373" w:type="dxa"/>
            <w:tcBorders>
              <w:top w:val="nil"/>
              <w:left w:val="nil"/>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proofErr w:type="spellStart"/>
            <w:r w:rsidRPr="00055CD5">
              <w:rPr>
                <w:b/>
                <w:bCs/>
                <w:color w:val="000000"/>
                <w:szCs w:val="18"/>
                <w:lang w:val="en-US"/>
              </w:rPr>
              <w:t>Onderwerp</w:t>
            </w:r>
            <w:proofErr w:type="spellEnd"/>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44373A" w:rsidRPr="00055CD5" w:rsidRDefault="0044373A" w:rsidP="00055CD5">
            <w:pPr>
              <w:rPr>
                <w:b/>
                <w:bCs/>
                <w:color w:val="000000"/>
                <w:szCs w:val="18"/>
                <w:lang w:val="en-US"/>
              </w:rPr>
            </w:pPr>
            <w:proofErr w:type="spellStart"/>
            <w:r w:rsidRPr="00055CD5">
              <w:rPr>
                <w:b/>
                <w:bCs/>
                <w:color w:val="000000"/>
                <w:szCs w:val="18"/>
                <w:lang w:val="en-US"/>
              </w:rPr>
              <w:t>Uitleg</w:t>
            </w:r>
            <w:proofErr w:type="spellEnd"/>
          </w:p>
        </w:tc>
      </w:tr>
      <w:tr w:rsidR="0044373A" w:rsidRPr="00055CD5" w:rsidTr="00F1344C">
        <w:trPr>
          <w:trHeight w:val="900"/>
        </w:trPr>
        <w:tc>
          <w:tcPr>
            <w:tcW w:w="687" w:type="dxa"/>
            <w:tcBorders>
              <w:top w:val="nil"/>
              <w:left w:val="single" w:sz="4" w:space="0" w:color="auto"/>
              <w:bottom w:val="single" w:sz="4" w:space="0" w:color="auto"/>
              <w:right w:val="single" w:sz="4" w:space="0" w:color="auto"/>
            </w:tcBorders>
            <w:shd w:val="clear" w:color="auto" w:fill="auto"/>
            <w:noWrap/>
            <w:hideMark/>
          </w:tcPr>
          <w:p w:rsidR="0044373A" w:rsidRPr="00055CD5" w:rsidRDefault="0044373A" w:rsidP="00055CD5">
            <w:pPr>
              <w:ind w:firstLineChars="100" w:firstLine="180"/>
              <w:rPr>
                <w:szCs w:val="18"/>
                <w:lang w:val="en-US"/>
              </w:rPr>
            </w:pPr>
            <w:r w:rsidRPr="00055CD5">
              <w:rPr>
                <w:szCs w:val="18"/>
                <w:lang w:val="en-US"/>
              </w:rPr>
              <w:t>15</w:t>
            </w:r>
          </w:p>
        </w:tc>
        <w:tc>
          <w:tcPr>
            <w:tcW w:w="5373" w:type="dxa"/>
            <w:tcBorders>
              <w:top w:val="nil"/>
              <w:left w:val="nil"/>
              <w:bottom w:val="single" w:sz="4" w:space="0" w:color="auto"/>
              <w:right w:val="single" w:sz="4" w:space="0" w:color="auto"/>
            </w:tcBorders>
            <w:shd w:val="clear" w:color="auto" w:fill="auto"/>
            <w:noWrap/>
            <w:hideMark/>
          </w:tcPr>
          <w:p w:rsidR="0044373A" w:rsidRPr="00055CD5" w:rsidRDefault="0044373A" w:rsidP="00055CD5">
            <w:pPr>
              <w:rPr>
                <w:color w:val="000000"/>
                <w:szCs w:val="18"/>
                <w:lang w:val="en-US"/>
              </w:rPr>
            </w:pPr>
            <w:proofErr w:type="spellStart"/>
            <w:r w:rsidRPr="00055CD5">
              <w:rPr>
                <w:color w:val="000000"/>
                <w:szCs w:val="18"/>
                <w:lang w:val="en-US"/>
              </w:rPr>
              <w:t>Implementatie</w:t>
            </w:r>
            <w:proofErr w:type="spellEnd"/>
            <w:r w:rsidRPr="00055CD5">
              <w:rPr>
                <w:color w:val="000000"/>
                <w:szCs w:val="18"/>
                <w:lang w:val="en-US"/>
              </w:rPr>
              <w:t xml:space="preserve"> </w:t>
            </w:r>
            <w:proofErr w:type="spellStart"/>
            <w:r w:rsidRPr="00055CD5">
              <w:rPr>
                <w:color w:val="000000"/>
                <w:szCs w:val="18"/>
                <w:lang w:val="en-US"/>
              </w:rPr>
              <w:t>Beoordelingskader</w:t>
            </w:r>
            <w:proofErr w:type="spellEnd"/>
            <w:r w:rsidRPr="00055CD5">
              <w:rPr>
                <w:color w:val="000000"/>
                <w:szCs w:val="18"/>
                <w:lang w:val="en-US"/>
              </w:rPr>
              <w:t xml:space="preserve"> RWZI</w:t>
            </w:r>
          </w:p>
        </w:tc>
        <w:tc>
          <w:tcPr>
            <w:tcW w:w="3380" w:type="dxa"/>
            <w:tcBorders>
              <w:top w:val="nil"/>
              <w:left w:val="nil"/>
              <w:bottom w:val="single" w:sz="4" w:space="0" w:color="auto"/>
              <w:right w:val="single" w:sz="4" w:space="0" w:color="auto"/>
            </w:tcBorders>
            <w:shd w:val="clear" w:color="auto" w:fill="auto"/>
            <w:vAlign w:val="bottom"/>
            <w:hideMark/>
          </w:tcPr>
          <w:p w:rsidR="0044373A" w:rsidRPr="00055CD5" w:rsidRDefault="0044373A" w:rsidP="00055CD5">
            <w:pPr>
              <w:rPr>
                <w:color w:val="000000"/>
                <w:szCs w:val="18"/>
              </w:rPr>
            </w:pPr>
            <w:r w:rsidRPr="00055CD5">
              <w:rPr>
                <w:color w:val="000000"/>
                <w:szCs w:val="18"/>
              </w:rPr>
              <w:t xml:space="preserve">RWZI is vanaf deze versie een opvang unit en geen watersysteem. De effecten ten gevolge van overbelasting en inhibitie worden berekend in de vorm van ongezuiverd lozen van </w:t>
            </w:r>
            <w:r w:rsidRPr="00055CD5">
              <w:rPr>
                <w:color w:val="000000"/>
                <w:szCs w:val="18"/>
              </w:rPr>
              <w:lastRenderedPageBreak/>
              <w:t xml:space="preserve">het </w:t>
            </w:r>
            <w:proofErr w:type="spellStart"/>
            <w:r w:rsidRPr="00055CD5">
              <w:rPr>
                <w:color w:val="000000"/>
                <w:szCs w:val="18"/>
              </w:rPr>
              <w:t>influent</w:t>
            </w:r>
            <w:proofErr w:type="spellEnd"/>
            <w:r w:rsidRPr="00055CD5">
              <w:rPr>
                <w:color w:val="000000"/>
                <w:szCs w:val="18"/>
              </w:rPr>
              <w:t xml:space="preserve"> gedurende 21 of minder dagen.</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lang w:val="en-US"/>
              </w:rPr>
            </w:pPr>
            <w:r w:rsidRPr="00055CD5">
              <w:rPr>
                <w:szCs w:val="18"/>
                <w:lang w:val="en-US"/>
              </w:rPr>
              <w:lastRenderedPageBreak/>
              <w:t>16</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r w:rsidRPr="00055CD5">
              <w:rPr>
                <w:rFonts w:ascii="Verdana" w:hAnsi="Verdana"/>
                <w:sz w:val="18"/>
                <w:szCs w:val="18"/>
              </w:rPr>
              <w:t>RWZI unit is een opvangunit</w:t>
            </w:r>
          </w:p>
          <w:p w:rsidR="0044373A" w:rsidRPr="00055CD5" w:rsidRDefault="0044373A" w:rsidP="00055CD5">
            <w:pPr>
              <w:rPr>
                <w:color w:val="000000"/>
                <w:szCs w:val="18"/>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44373A" w:rsidRPr="00055CD5" w:rsidRDefault="0044373A" w:rsidP="00055CD5">
            <w:pPr>
              <w:rPr>
                <w:color w:val="000000"/>
                <w:szCs w:val="18"/>
              </w:rPr>
            </w:pPr>
            <w:r w:rsidRPr="00055CD5">
              <w:rPr>
                <w:color w:val="000000"/>
                <w:szCs w:val="18"/>
              </w:rPr>
              <w:t xml:space="preserve">Vóór versie 4 was de RWZI een eindpunt in de berekening. In 4 wordt de lozing via de RWZI doorgegeven aan een watersysteem. </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rPr>
            </w:pPr>
            <w:r w:rsidRPr="00055CD5">
              <w:rPr>
                <w:szCs w:val="18"/>
              </w:rPr>
              <w:t>17</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proofErr w:type="spellStart"/>
            <w:r w:rsidRPr="00055CD5">
              <w:rPr>
                <w:rFonts w:ascii="Verdana" w:hAnsi="Verdana" w:cs="Arial"/>
                <w:color w:val="000000"/>
                <w:sz w:val="18"/>
                <w:szCs w:val="18"/>
              </w:rPr>
              <w:t>Oxidatiebed</w:t>
            </w:r>
            <w:proofErr w:type="spellEnd"/>
            <w:r w:rsidRPr="00055CD5">
              <w:rPr>
                <w:rFonts w:ascii="Verdana" w:hAnsi="Verdana" w:cs="Arial"/>
                <w:color w:val="000000"/>
                <w:sz w:val="18"/>
                <w:szCs w:val="18"/>
              </w:rPr>
              <w:t xml:space="preserve"> verwijderd uit RWZI unit</w:t>
            </w:r>
          </w:p>
          <w:p w:rsidR="0044373A" w:rsidRPr="00055CD5" w:rsidRDefault="0044373A" w:rsidP="00055CD5">
            <w:pPr>
              <w:pStyle w:val="Plattetekst"/>
              <w:jc w:val="left"/>
              <w:rPr>
                <w:rFonts w:ascii="Verdana" w:hAnsi="Verdana"/>
                <w:sz w:val="18"/>
                <w:szCs w:val="18"/>
              </w:rPr>
            </w:pPr>
          </w:p>
        </w:tc>
        <w:tc>
          <w:tcPr>
            <w:tcW w:w="3380" w:type="dxa"/>
            <w:tcBorders>
              <w:top w:val="single" w:sz="4" w:space="0" w:color="auto"/>
              <w:left w:val="nil"/>
              <w:bottom w:val="single" w:sz="4" w:space="0" w:color="auto"/>
              <w:right w:val="single" w:sz="4" w:space="0" w:color="auto"/>
            </w:tcBorders>
            <w:shd w:val="clear" w:color="auto" w:fill="auto"/>
          </w:tcPr>
          <w:p w:rsidR="0044373A" w:rsidRPr="00055CD5" w:rsidRDefault="0044373A" w:rsidP="00055CD5">
            <w:pPr>
              <w:rPr>
                <w:color w:val="000000"/>
                <w:szCs w:val="18"/>
              </w:rPr>
            </w:pPr>
            <w:r w:rsidRPr="00055CD5">
              <w:rPr>
                <w:color w:val="000000"/>
                <w:szCs w:val="18"/>
              </w:rPr>
              <w:t>Oxidatiebedden komen niet meer voor in Nederland vanwege de strenge eisen die aan het effluent worden gesteld</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rPr>
            </w:pPr>
            <w:r w:rsidRPr="00055CD5">
              <w:rPr>
                <w:szCs w:val="18"/>
              </w:rPr>
              <w:t>18</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proofErr w:type="spellStart"/>
            <w:r w:rsidRPr="00055CD5">
              <w:rPr>
                <w:rFonts w:ascii="Verdana" w:hAnsi="Verdana" w:cs="Arial"/>
                <w:color w:val="000000"/>
                <w:sz w:val="18"/>
                <w:szCs w:val="18"/>
              </w:rPr>
              <w:t>v.e</w:t>
            </w:r>
            <w:proofErr w:type="spellEnd"/>
            <w:r w:rsidRPr="00055CD5">
              <w:rPr>
                <w:rFonts w:ascii="Verdana" w:hAnsi="Verdana" w:cs="Arial"/>
                <w:color w:val="000000"/>
                <w:sz w:val="18"/>
                <w:szCs w:val="18"/>
              </w:rPr>
              <w:t>. als eenheid toegevoegd aan ontwerpcapaciteit RWZI</w:t>
            </w:r>
          </w:p>
          <w:p w:rsidR="0044373A" w:rsidRPr="00055CD5" w:rsidRDefault="0044373A" w:rsidP="00055CD5">
            <w:pPr>
              <w:pStyle w:val="Plattetekst"/>
              <w:jc w:val="left"/>
              <w:rPr>
                <w:rFonts w:ascii="Verdana" w:hAnsi="Verdana" w:cs="Arial"/>
                <w:color w:val="000000"/>
                <w:sz w:val="18"/>
                <w:szCs w:val="18"/>
              </w:rPr>
            </w:pPr>
          </w:p>
        </w:tc>
        <w:tc>
          <w:tcPr>
            <w:tcW w:w="3380" w:type="dxa"/>
            <w:tcBorders>
              <w:top w:val="single" w:sz="4" w:space="0" w:color="auto"/>
              <w:left w:val="nil"/>
              <w:bottom w:val="single" w:sz="4" w:space="0" w:color="auto"/>
              <w:right w:val="single" w:sz="4" w:space="0" w:color="auto"/>
            </w:tcBorders>
            <w:shd w:val="clear" w:color="auto" w:fill="auto"/>
          </w:tcPr>
          <w:p w:rsidR="0044373A" w:rsidRPr="00055CD5" w:rsidRDefault="0044373A" w:rsidP="00055CD5">
            <w:pPr>
              <w:rPr>
                <w:color w:val="000000"/>
                <w:szCs w:val="18"/>
              </w:rPr>
            </w:pPr>
            <w:r w:rsidRPr="00055CD5">
              <w:rPr>
                <w:color w:val="000000"/>
                <w:szCs w:val="18"/>
              </w:rPr>
              <w:t>V.E. is gedefinieerd als 150 gram TZV per dag.</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lang w:val="en-US"/>
              </w:rPr>
            </w:pPr>
            <w:r w:rsidRPr="00055CD5">
              <w:rPr>
                <w:szCs w:val="18"/>
                <w:lang w:val="en-US"/>
              </w:rPr>
              <w:t>19</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r w:rsidRPr="00055CD5">
              <w:rPr>
                <w:rFonts w:ascii="Verdana" w:hAnsi="Verdana" w:cs="Arial"/>
                <w:color w:val="000000"/>
                <w:sz w:val="18"/>
                <w:szCs w:val="18"/>
              </w:rPr>
              <w:t>Term BZV vervangen door TZV</w:t>
            </w:r>
          </w:p>
          <w:p w:rsidR="0044373A" w:rsidRPr="00055CD5" w:rsidRDefault="0044373A" w:rsidP="00055CD5">
            <w:pPr>
              <w:pStyle w:val="Plattetekst"/>
              <w:jc w:val="left"/>
              <w:rPr>
                <w:rFonts w:ascii="Verdana" w:hAnsi="Verdana" w:cs="Arial"/>
                <w:color w:val="000000"/>
                <w:sz w:val="18"/>
                <w:szCs w:val="18"/>
              </w:rPr>
            </w:pPr>
          </w:p>
        </w:tc>
        <w:tc>
          <w:tcPr>
            <w:tcW w:w="3380" w:type="dxa"/>
            <w:tcBorders>
              <w:top w:val="single" w:sz="4" w:space="0" w:color="auto"/>
              <w:left w:val="nil"/>
              <w:bottom w:val="single" w:sz="4" w:space="0" w:color="auto"/>
              <w:right w:val="single" w:sz="4" w:space="0" w:color="auto"/>
            </w:tcBorders>
            <w:shd w:val="clear" w:color="auto" w:fill="auto"/>
          </w:tcPr>
          <w:p w:rsidR="0044373A" w:rsidRPr="00055CD5" w:rsidRDefault="0044373A" w:rsidP="00055CD5">
            <w:pPr>
              <w:rPr>
                <w:color w:val="000000"/>
                <w:szCs w:val="18"/>
              </w:rPr>
            </w:pPr>
            <w:r w:rsidRPr="00055CD5">
              <w:rPr>
                <w:color w:val="000000"/>
                <w:szCs w:val="18"/>
              </w:rPr>
              <w:t xml:space="preserve">BZV getal is vaak alleen te berekenen als TZV uit de oxidatieformule van de stof; </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lang w:val="en-US"/>
              </w:rPr>
            </w:pPr>
            <w:r w:rsidRPr="00055CD5">
              <w:rPr>
                <w:szCs w:val="18"/>
                <w:lang w:val="en-US"/>
              </w:rPr>
              <w:t>20</w:t>
            </w:r>
          </w:p>
        </w:tc>
        <w:tc>
          <w:tcPr>
            <w:tcW w:w="5373" w:type="dxa"/>
            <w:tcBorders>
              <w:top w:val="single" w:sz="4" w:space="0" w:color="auto"/>
              <w:left w:val="nil"/>
              <w:bottom w:val="single" w:sz="4" w:space="0" w:color="auto"/>
              <w:right w:val="single" w:sz="4" w:space="0" w:color="auto"/>
            </w:tcBorders>
            <w:shd w:val="clear" w:color="auto" w:fill="auto"/>
            <w:noWrap/>
            <w:vAlign w:val="bottom"/>
          </w:tcPr>
          <w:p w:rsidR="0044373A" w:rsidRPr="00055CD5" w:rsidRDefault="0044373A" w:rsidP="00055CD5">
            <w:pPr>
              <w:pStyle w:val="Plattetekst"/>
              <w:jc w:val="left"/>
              <w:rPr>
                <w:rFonts w:ascii="Verdana" w:hAnsi="Verdana"/>
                <w:sz w:val="18"/>
                <w:szCs w:val="18"/>
              </w:rPr>
            </w:pPr>
            <w:r w:rsidRPr="00055CD5">
              <w:rPr>
                <w:rFonts w:ascii="Verdana" w:hAnsi="Verdana" w:cs="Arial"/>
                <w:color w:val="000000"/>
                <w:sz w:val="18"/>
                <w:szCs w:val="18"/>
              </w:rPr>
              <w:t>IC50 als verplicht veld bij het invoeren en aanpassen van componenten. Controle op dit veld bij importeren van versie 3.3 projecten</w:t>
            </w:r>
          </w:p>
          <w:p w:rsidR="0044373A" w:rsidRPr="00055CD5" w:rsidRDefault="0044373A" w:rsidP="00055CD5">
            <w:pPr>
              <w:pStyle w:val="Plattetekst"/>
              <w:jc w:val="left"/>
              <w:rPr>
                <w:rFonts w:ascii="Verdana" w:hAnsi="Verdana" w:cs="Arial"/>
                <w:color w:val="000000"/>
                <w:sz w:val="18"/>
                <w:szCs w:val="18"/>
              </w:rPr>
            </w:pPr>
          </w:p>
        </w:tc>
        <w:tc>
          <w:tcPr>
            <w:tcW w:w="3380" w:type="dxa"/>
            <w:tcBorders>
              <w:top w:val="single" w:sz="4" w:space="0" w:color="auto"/>
              <w:left w:val="nil"/>
              <w:bottom w:val="single" w:sz="4" w:space="0" w:color="auto"/>
              <w:right w:val="single" w:sz="4" w:space="0" w:color="auto"/>
            </w:tcBorders>
            <w:shd w:val="clear" w:color="auto" w:fill="auto"/>
          </w:tcPr>
          <w:p w:rsidR="0044373A" w:rsidRPr="00055CD5" w:rsidRDefault="0044373A" w:rsidP="00055CD5">
            <w:pPr>
              <w:rPr>
                <w:color w:val="000000"/>
                <w:szCs w:val="18"/>
              </w:rPr>
            </w:pPr>
            <w:r w:rsidRPr="00055CD5">
              <w:rPr>
                <w:color w:val="000000"/>
                <w:szCs w:val="18"/>
              </w:rPr>
              <w:t>IC50 is bepalend voor het al of niet vergiftig raken van het actieslib en daarmee het falen van de RWZI</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lang w:val="en-US"/>
              </w:rPr>
            </w:pPr>
            <w:r w:rsidRPr="00055CD5">
              <w:rPr>
                <w:szCs w:val="18"/>
                <w:lang w:val="en-US"/>
              </w:rPr>
              <w:t>21</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r w:rsidRPr="00055CD5">
              <w:rPr>
                <w:rFonts w:ascii="Verdana" w:hAnsi="Verdana"/>
                <w:sz w:val="18"/>
                <w:szCs w:val="18"/>
              </w:rPr>
              <w:t>Importeren Proteus 2 projecten is verwijderd</w:t>
            </w:r>
          </w:p>
          <w:p w:rsidR="0044373A" w:rsidRPr="00055CD5" w:rsidRDefault="0044373A" w:rsidP="00055CD5">
            <w:pPr>
              <w:pStyle w:val="Plattetekst"/>
              <w:jc w:val="left"/>
              <w:rPr>
                <w:rFonts w:ascii="Verdana" w:hAnsi="Verdana" w:cs="Arial"/>
                <w:color w:val="000000"/>
                <w:sz w:val="18"/>
                <w:szCs w:val="18"/>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44373A" w:rsidRPr="00055CD5" w:rsidRDefault="0044373A" w:rsidP="00055CD5">
            <w:pPr>
              <w:rPr>
                <w:color w:val="000000"/>
                <w:szCs w:val="18"/>
              </w:rPr>
            </w:pPr>
            <w:r w:rsidRPr="00055CD5">
              <w:rPr>
                <w:color w:val="000000"/>
                <w:szCs w:val="18"/>
              </w:rPr>
              <w:t>Gebruik versie 3.3 om Proteus 2 projecten te lezen en te bewaren als 3.3 project. 3.3 Projecten kunnen in Proteus 4 gelezen worden.</w:t>
            </w:r>
          </w:p>
        </w:tc>
      </w:tr>
      <w:tr w:rsidR="0044373A" w:rsidRPr="00055CD5" w:rsidTr="00F1344C">
        <w:trPr>
          <w:trHeight w:val="900"/>
        </w:trPr>
        <w:tc>
          <w:tcPr>
            <w:tcW w:w="687" w:type="dxa"/>
            <w:tcBorders>
              <w:top w:val="single" w:sz="4" w:space="0" w:color="auto"/>
              <w:left w:val="single" w:sz="4" w:space="0" w:color="auto"/>
              <w:bottom w:val="single" w:sz="4" w:space="0" w:color="auto"/>
              <w:right w:val="single" w:sz="4" w:space="0" w:color="auto"/>
            </w:tcBorders>
            <w:shd w:val="clear" w:color="auto" w:fill="auto"/>
            <w:noWrap/>
          </w:tcPr>
          <w:p w:rsidR="0044373A" w:rsidRPr="00055CD5" w:rsidRDefault="0044373A" w:rsidP="00055CD5">
            <w:pPr>
              <w:ind w:firstLineChars="100" w:firstLine="180"/>
              <w:rPr>
                <w:szCs w:val="18"/>
              </w:rPr>
            </w:pPr>
            <w:r w:rsidRPr="00055CD5">
              <w:rPr>
                <w:szCs w:val="18"/>
              </w:rPr>
              <w:t>22</w:t>
            </w:r>
          </w:p>
        </w:tc>
        <w:tc>
          <w:tcPr>
            <w:tcW w:w="5373" w:type="dxa"/>
            <w:tcBorders>
              <w:top w:val="single" w:sz="4" w:space="0" w:color="auto"/>
              <w:left w:val="nil"/>
              <w:bottom w:val="single" w:sz="4" w:space="0" w:color="auto"/>
              <w:right w:val="single" w:sz="4" w:space="0" w:color="auto"/>
            </w:tcBorders>
            <w:shd w:val="clear" w:color="auto" w:fill="auto"/>
            <w:noWrap/>
          </w:tcPr>
          <w:p w:rsidR="0044373A" w:rsidRPr="00055CD5" w:rsidRDefault="0044373A" w:rsidP="00055CD5">
            <w:pPr>
              <w:pStyle w:val="Plattetekst"/>
              <w:jc w:val="left"/>
              <w:rPr>
                <w:rFonts w:ascii="Verdana" w:hAnsi="Verdana"/>
                <w:sz w:val="18"/>
                <w:szCs w:val="18"/>
              </w:rPr>
            </w:pPr>
            <w:r w:rsidRPr="00055CD5">
              <w:rPr>
                <w:rFonts w:ascii="Verdana" w:hAnsi="Verdana"/>
                <w:sz w:val="18"/>
                <w:szCs w:val="18"/>
              </w:rPr>
              <w:t>Drie verschillende resultaten worden in aparte MSI grafieken getoond</w:t>
            </w:r>
          </w:p>
        </w:tc>
        <w:tc>
          <w:tcPr>
            <w:tcW w:w="3380" w:type="dxa"/>
            <w:tcBorders>
              <w:top w:val="single" w:sz="4" w:space="0" w:color="auto"/>
              <w:left w:val="nil"/>
              <w:bottom w:val="single" w:sz="4" w:space="0" w:color="auto"/>
              <w:right w:val="single" w:sz="4" w:space="0" w:color="auto"/>
            </w:tcBorders>
            <w:shd w:val="clear" w:color="auto" w:fill="auto"/>
          </w:tcPr>
          <w:p w:rsidR="0044373A" w:rsidRPr="00055CD5" w:rsidRDefault="0044373A" w:rsidP="00055CD5">
            <w:pPr>
              <w:rPr>
                <w:color w:val="000000"/>
                <w:szCs w:val="18"/>
              </w:rPr>
            </w:pPr>
            <w:r w:rsidRPr="00055CD5">
              <w:rPr>
                <w:color w:val="000000"/>
                <w:szCs w:val="18"/>
              </w:rPr>
              <w:t>Er is een onderscheid gemaakt tussen Volume-, drijver- en zinkerresultaten</w:t>
            </w:r>
          </w:p>
        </w:tc>
      </w:tr>
    </w:tbl>
    <w:p w:rsidR="0044373A" w:rsidRPr="00055CD5" w:rsidRDefault="0044373A" w:rsidP="00055CD5">
      <w:pPr>
        <w:pStyle w:val="Plattetekst"/>
        <w:jc w:val="left"/>
        <w:rPr>
          <w:rFonts w:ascii="Verdana" w:hAnsi="Verdana"/>
          <w:sz w:val="18"/>
          <w:szCs w:val="18"/>
        </w:rPr>
      </w:pPr>
    </w:p>
    <w:p w:rsidR="0044373A" w:rsidRDefault="0044373A" w:rsidP="00055CD5">
      <w:pPr>
        <w:pStyle w:val="Plattetekst"/>
        <w:jc w:val="left"/>
        <w:rPr>
          <w:rFonts w:ascii="Verdana" w:hAnsi="Verdana"/>
          <w:b/>
          <w:bCs/>
          <w:sz w:val="18"/>
          <w:szCs w:val="18"/>
        </w:rPr>
      </w:pPr>
      <w:r w:rsidRPr="00055CD5">
        <w:rPr>
          <w:rFonts w:ascii="Verdana" w:hAnsi="Verdana"/>
          <w:b/>
          <w:bCs/>
          <w:sz w:val="18"/>
          <w:szCs w:val="18"/>
        </w:rPr>
        <w:t>Opgeloste bevindingen in Proteus 4</w:t>
      </w:r>
    </w:p>
    <w:p w:rsidR="003177BD" w:rsidRPr="00055CD5" w:rsidRDefault="003177BD" w:rsidP="00055CD5">
      <w:pPr>
        <w:pStyle w:val="Plattetekst"/>
        <w:jc w:val="left"/>
        <w:rPr>
          <w:rFonts w:ascii="Verdana" w:hAnsi="Verdana"/>
          <w:b/>
          <w:bCs/>
          <w:sz w:val="18"/>
          <w:szCs w:val="18"/>
        </w:rPr>
      </w:pP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962"/>
        <w:gridCol w:w="4561"/>
      </w:tblGrid>
      <w:tr w:rsidR="0044373A" w:rsidRPr="00055CD5" w:rsidTr="00F1344C">
        <w:tc>
          <w:tcPr>
            <w:tcW w:w="680" w:type="dxa"/>
          </w:tcPr>
          <w:p w:rsidR="0044373A" w:rsidRPr="00055CD5" w:rsidRDefault="0044373A" w:rsidP="00055CD5">
            <w:pPr>
              <w:keepNext/>
              <w:keepLines/>
              <w:rPr>
                <w:rFonts w:cs="Arial"/>
                <w:b/>
                <w:bCs/>
                <w:szCs w:val="18"/>
              </w:rPr>
            </w:pPr>
            <w:r w:rsidRPr="00055CD5">
              <w:rPr>
                <w:rFonts w:cs="Arial"/>
                <w:b/>
                <w:bCs/>
                <w:szCs w:val="18"/>
              </w:rPr>
              <w:t>Item</w:t>
            </w:r>
          </w:p>
        </w:tc>
        <w:tc>
          <w:tcPr>
            <w:tcW w:w="4962" w:type="dxa"/>
          </w:tcPr>
          <w:p w:rsidR="0044373A" w:rsidRPr="00055CD5" w:rsidRDefault="0044373A" w:rsidP="00055CD5">
            <w:pPr>
              <w:keepNext/>
              <w:keepLines/>
              <w:rPr>
                <w:rFonts w:cs="Arial"/>
                <w:b/>
                <w:bCs/>
                <w:szCs w:val="18"/>
              </w:rPr>
            </w:pPr>
            <w:r w:rsidRPr="00055CD5">
              <w:rPr>
                <w:rFonts w:cs="Arial"/>
                <w:b/>
                <w:bCs/>
                <w:szCs w:val="18"/>
              </w:rPr>
              <w:t>Beschrijving</w:t>
            </w:r>
          </w:p>
        </w:tc>
        <w:tc>
          <w:tcPr>
            <w:tcW w:w="4561" w:type="dxa"/>
          </w:tcPr>
          <w:p w:rsidR="0044373A" w:rsidRPr="00055CD5" w:rsidRDefault="0044373A" w:rsidP="00055CD5">
            <w:pPr>
              <w:keepNext/>
              <w:keepLines/>
              <w:rPr>
                <w:rFonts w:cs="Arial"/>
                <w:b/>
                <w:bCs/>
                <w:szCs w:val="18"/>
              </w:rPr>
            </w:pPr>
            <w:r w:rsidRPr="00055CD5">
              <w:rPr>
                <w:rFonts w:cs="Arial"/>
                <w:b/>
                <w:bCs/>
                <w:szCs w:val="18"/>
              </w:rPr>
              <w:t>Uitleg</w:t>
            </w:r>
          </w:p>
        </w:tc>
      </w:tr>
      <w:tr w:rsidR="0044373A" w:rsidRPr="00055CD5" w:rsidTr="00F1344C">
        <w:tc>
          <w:tcPr>
            <w:tcW w:w="680" w:type="dxa"/>
          </w:tcPr>
          <w:p w:rsidR="0044373A" w:rsidRPr="00055CD5" w:rsidRDefault="0044373A" w:rsidP="00055CD5">
            <w:pPr>
              <w:rPr>
                <w:rFonts w:cs="Arial"/>
                <w:color w:val="000000"/>
                <w:szCs w:val="18"/>
              </w:rPr>
            </w:pPr>
            <w:r w:rsidRPr="00055CD5">
              <w:rPr>
                <w:rFonts w:cs="Arial"/>
                <w:color w:val="000000"/>
                <w:szCs w:val="18"/>
              </w:rPr>
              <w:t>4.1</w:t>
            </w:r>
          </w:p>
        </w:tc>
        <w:tc>
          <w:tcPr>
            <w:tcW w:w="4962" w:type="dxa"/>
          </w:tcPr>
          <w:p w:rsidR="0044373A" w:rsidRPr="00055CD5" w:rsidRDefault="0044373A" w:rsidP="00055CD5">
            <w:pPr>
              <w:rPr>
                <w:rFonts w:cs="Arial"/>
                <w:color w:val="000000"/>
                <w:szCs w:val="18"/>
              </w:rPr>
            </w:pPr>
            <w:r w:rsidRPr="00055CD5">
              <w:rPr>
                <w:szCs w:val="18"/>
              </w:rPr>
              <w:t xml:space="preserve">De faalkans van </w:t>
            </w:r>
            <w:proofErr w:type="spellStart"/>
            <w:r w:rsidRPr="00055CD5">
              <w:rPr>
                <w:szCs w:val="18"/>
              </w:rPr>
              <w:t>Spigot</w:t>
            </w:r>
            <w:proofErr w:type="spellEnd"/>
            <w:r w:rsidRPr="00055CD5">
              <w:rPr>
                <w:szCs w:val="18"/>
              </w:rPr>
              <w:t xml:space="preserve"> is aangepast</w:t>
            </w:r>
          </w:p>
        </w:tc>
        <w:tc>
          <w:tcPr>
            <w:tcW w:w="4561" w:type="dxa"/>
          </w:tcPr>
          <w:p w:rsidR="0044373A" w:rsidRPr="00055CD5" w:rsidRDefault="0044373A" w:rsidP="00055CD5">
            <w:pPr>
              <w:rPr>
                <w:rFonts w:cs="Arial"/>
                <w:szCs w:val="18"/>
              </w:rPr>
            </w:pPr>
            <w:r w:rsidRPr="00055CD5">
              <w:rPr>
                <w:szCs w:val="18"/>
              </w:rPr>
              <w:t xml:space="preserve">De faalkans bij </w:t>
            </w:r>
            <w:proofErr w:type="spellStart"/>
            <w:r w:rsidRPr="00055CD5">
              <w:rPr>
                <w:szCs w:val="18"/>
              </w:rPr>
              <w:t>Spigot</w:t>
            </w:r>
            <w:proofErr w:type="spellEnd"/>
            <w:r w:rsidRPr="00055CD5">
              <w:rPr>
                <w:szCs w:val="18"/>
              </w:rPr>
              <w:t xml:space="preserve"> is aangepast aan BEVI normen. </w:t>
            </w:r>
            <w:r w:rsidRPr="00055CD5">
              <w:rPr>
                <w:color w:val="3A3A3A"/>
                <w:szCs w:val="18"/>
                <w:shd w:val="clear" w:color="auto" w:fill="FFFFFF"/>
              </w:rPr>
              <w:t>Op basis van de historische achtergrond bleek </w:t>
            </w:r>
            <w:r w:rsidRPr="00055CD5">
              <w:rPr>
                <w:szCs w:val="18"/>
              </w:rPr>
              <w:t xml:space="preserve">heroverweging van de faalkans voor </w:t>
            </w:r>
            <w:proofErr w:type="spellStart"/>
            <w:r w:rsidRPr="00055CD5">
              <w:rPr>
                <w:szCs w:val="18"/>
              </w:rPr>
              <w:t>spigot</w:t>
            </w:r>
            <w:proofErr w:type="spellEnd"/>
            <w:r w:rsidRPr="00055CD5">
              <w:rPr>
                <w:szCs w:val="18"/>
              </w:rPr>
              <w:t xml:space="preserve"> / continu falen in Proteus op zijn plaats. De faalkans voor continu falen in combinatie met </w:t>
            </w:r>
            <w:proofErr w:type="spellStart"/>
            <w:r w:rsidRPr="00055CD5">
              <w:rPr>
                <w:szCs w:val="18"/>
              </w:rPr>
              <w:t>spigot</w:t>
            </w:r>
            <w:proofErr w:type="spellEnd"/>
            <w:r w:rsidRPr="00055CD5">
              <w:rPr>
                <w:szCs w:val="18"/>
              </w:rPr>
              <w:t xml:space="preserve"> is daarom nu gesteld op 5*10-6. </w:t>
            </w:r>
          </w:p>
        </w:tc>
      </w:tr>
      <w:tr w:rsidR="0044373A" w:rsidRPr="00055CD5" w:rsidTr="00F1344C">
        <w:tc>
          <w:tcPr>
            <w:tcW w:w="680" w:type="dxa"/>
          </w:tcPr>
          <w:p w:rsidR="0044373A" w:rsidRPr="00055CD5" w:rsidRDefault="0044373A" w:rsidP="00055CD5">
            <w:pPr>
              <w:rPr>
                <w:rFonts w:cs="Arial"/>
                <w:color w:val="000000"/>
                <w:szCs w:val="18"/>
              </w:rPr>
            </w:pPr>
            <w:r w:rsidRPr="00055CD5">
              <w:rPr>
                <w:rFonts w:cs="Arial"/>
                <w:color w:val="000000"/>
                <w:szCs w:val="18"/>
              </w:rPr>
              <w:t>4.2</w:t>
            </w:r>
          </w:p>
        </w:tc>
        <w:tc>
          <w:tcPr>
            <w:tcW w:w="4962" w:type="dxa"/>
          </w:tcPr>
          <w:p w:rsidR="0044373A" w:rsidRPr="00055CD5" w:rsidRDefault="0044373A" w:rsidP="00055CD5">
            <w:pPr>
              <w:rPr>
                <w:rFonts w:cs="Arial"/>
                <w:color w:val="000000"/>
                <w:szCs w:val="18"/>
              </w:rPr>
            </w:pPr>
            <w:r w:rsidRPr="00055CD5">
              <w:rPr>
                <w:szCs w:val="18"/>
              </w:rPr>
              <w:t>Unieke namen verplicht voor Units en Installaties</w:t>
            </w:r>
          </w:p>
        </w:tc>
        <w:tc>
          <w:tcPr>
            <w:tcW w:w="4561" w:type="dxa"/>
          </w:tcPr>
          <w:p w:rsidR="0044373A" w:rsidRPr="00055CD5" w:rsidRDefault="0044373A" w:rsidP="00055CD5">
            <w:pPr>
              <w:rPr>
                <w:rFonts w:cs="Arial"/>
                <w:szCs w:val="18"/>
              </w:rPr>
            </w:pPr>
            <w:r w:rsidRPr="00055CD5">
              <w:rPr>
                <w:rFonts w:cs="Arial"/>
                <w:szCs w:val="18"/>
              </w:rPr>
              <w:t>Dit is gedaan om de resultaten eenduidig te kunnen vastleggen en terugvinden</w:t>
            </w:r>
          </w:p>
        </w:tc>
      </w:tr>
      <w:tr w:rsidR="0044373A" w:rsidRPr="00055CD5" w:rsidTr="00F1344C">
        <w:tc>
          <w:tcPr>
            <w:tcW w:w="680" w:type="dxa"/>
          </w:tcPr>
          <w:p w:rsidR="0044373A" w:rsidRPr="00055CD5" w:rsidRDefault="0044373A" w:rsidP="00055CD5">
            <w:pPr>
              <w:rPr>
                <w:rFonts w:cs="Arial"/>
                <w:color w:val="000000"/>
                <w:szCs w:val="18"/>
              </w:rPr>
            </w:pPr>
            <w:r w:rsidRPr="00055CD5">
              <w:rPr>
                <w:rFonts w:cs="Arial"/>
                <w:color w:val="000000"/>
                <w:szCs w:val="18"/>
              </w:rPr>
              <w:t>4.3</w:t>
            </w:r>
          </w:p>
        </w:tc>
        <w:tc>
          <w:tcPr>
            <w:tcW w:w="4962" w:type="dxa"/>
          </w:tcPr>
          <w:p w:rsidR="0044373A" w:rsidRPr="00055CD5" w:rsidRDefault="0044373A" w:rsidP="00055CD5">
            <w:pPr>
              <w:rPr>
                <w:rFonts w:cs="Arial"/>
                <w:color w:val="000000"/>
                <w:szCs w:val="18"/>
              </w:rPr>
            </w:pPr>
            <w:r w:rsidRPr="00055CD5">
              <w:rPr>
                <w:szCs w:val="18"/>
              </w:rPr>
              <w:t xml:space="preserve">Bug </w:t>
            </w:r>
            <w:proofErr w:type="spellStart"/>
            <w:r w:rsidRPr="00055CD5">
              <w:rPr>
                <w:szCs w:val="18"/>
              </w:rPr>
              <w:t>pompput</w:t>
            </w:r>
            <w:proofErr w:type="spellEnd"/>
            <w:r w:rsidRPr="00055CD5">
              <w:rPr>
                <w:szCs w:val="18"/>
              </w:rPr>
              <w:t xml:space="preserve"> opgelost</w:t>
            </w:r>
          </w:p>
        </w:tc>
        <w:tc>
          <w:tcPr>
            <w:tcW w:w="4561" w:type="dxa"/>
          </w:tcPr>
          <w:p w:rsidR="0044373A" w:rsidRPr="00055CD5" w:rsidRDefault="0044373A" w:rsidP="00055CD5">
            <w:pPr>
              <w:rPr>
                <w:rFonts w:cs="Arial"/>
                <w:szCs w:val="18"/>
              </w:rPr>
            </w:pPr>
            <w:r w:rsidRPr="00055CD5">
              <w:rPr>
                <w:rFonts w:cs="Arial"/>
                <w:szCs w:val="18"/>
              </w:rPr>
              <w:t xml:space="preserve">Berekeningen </w:t>
            </w:r>
            <w:proofErr w:type="spellStart"/>
            <w:r w:rsidRPr="00055CD5">
              <w:rPr>
                <w:rFonts w:cs="Arial"/>
                <w:szCs w:val="18"/>
              </w:rPr>
              <w:t>pompput</w:t>
            </w:r>
            <w:proofErr w:type="spellEnd"/>
            <w:r w:rsidRPr="00055CD5">
              <w:rPr>
                <w:rFonts w:cs="Arial"/>
                <w:szCs w:val="18"/>
              </w:rPr>
              <w:t xml:space="preserve"> waren niet correct</w:t>
            </w:r>
          </w:p>
        </w:tc>
      </w:tr>
      <w:tr w:rsidR="0044373A" w:rsidRPr="00055CD5" w:rsidTr="00F1344C">
        <w:tc>
          <w:tcPr>
            <w:tcW w:w="680" w:type="dxa"/>
          </w:tcPr>
          <w:p w:rsidR="0044373A" w:rsidRPr="00055CD5" w:rsidRDefault="0044373A" w:rsidP="00055CD5">
            <w:pPr>
              <w:rPr>
                <w:rFonts w:cs="Arial"/>
                <w:color w:val="000000"/>
                <w:szCs w:val="18"/>
              </w:rPr>
            </w:pPr>
            <w:r w:rsidRPr="00055CD5">
              <w:rPr>
                <w:rFonts w:cs="Arial"/>
                <w:color w:val="000000"/>
                <w:szCs w:val="18"/>
              </w:rPr>
              <w:t>4.4</w:t>
            </w:r>
          </w:p>
        </w:tc>
        <w:tc>
          <w:tcPr>
            <w:tcW w:w="4962" w:type="dxa"/>
          </w:tcPr>
          <w:p w:rsidR="0044373A" w:rsidRPr="00055CD5" w:rsidRDefault="0044373A" w:rsidP="00055CD5">
            <w:pPr>
              <w:rPr>
                <w:szCs w:val="18"/>
              </w:rPr>
            </w:pPr>
            <w:r w:rsidRPr="00055CD5">
              <w:rPr>
                <w:szCs w:val="18"/>
              </w:rPr>
              <w:t xml:space="preserve">Items in resultaten-kolom kunnen worden ingesteld naar wens. </w:t>
            </w:r>
          </w:p>
        </w:tc>
        <w:tc>
          <w:tcPr>
            <w:tcW w:w="4561" w:type="dxa"/>
          </w:tcPr>
          <w:p w:rsidR="0044373A" w:rsidRPr="00055CD5" w:rsidRDefault="0044373A" w:rsidP="00055CD5">
            <w:pPr>
              <w:rPr>
                <w:rFonts w:cs="Arial"/>
                <w:szCs w:val="18"/>
              </w:rPr>
            </w:pPr>
            <w:r w:rsidRPr="00055CD5">
              <w:rPr>
                <w:rFonts w:cs="Arial"/>
                <w:szCs w:val="18"/>
              </w:rPr>
              <w:t>Hiermee wordt het achterhalen van de bronnen en routes van berekende milieuschade resultaten sterk verbeterd</w:t>
            </w:r>
          </w:p>
        </w:tc>
      </w:tr>
    </w:tbl>
    <w:p w:rsidR="0044373A" w:rsidRPr="00055CD5" w:rsidRDefault="0044373A" w:rsidP="00055CD5">
      <w:pPr>
        <w:pStyle w:val="Plattetekst"/>
        <w:jc w:val="left"/>
        <w:rPr>
          <w:rFonts w:ascii="Verdana" w:hAnsi="Verdana"/>
          <w:sz w:val="18"/>
          <w:szCs w:val="18"/>
        </w:rPr>
      </w:pPr>
    </w:p>
    <w:p w:rsidR="0044373A" w:rsidRPr="00055CD5" w:rsidRDefault="0044373A" w:rsidP="00267D2D">
      <w:pPr>
        <w:pStyle w:val="Kop2"/>
        <w:numPr>
          <w:ilvl w:val="0"/>
          <w:numId w:val="0"/>
        </w:numPr>
        <w:rPr>
          <w:rFonts w:ascii="Verdana" w:hAnsi="Verdana"/>
          <w:sz w:val="18"/>
          <w:szCs w:val="18"/>
        </w:rPr>
      </w:pPr>
      <w:bookmarkStart w:id="2" w:name="_Toc63162293"/>
      <w:r w:rsidRPr="00055CD5">
        <w:rPr>
          <w:rFonts w:ascii="Verdana" w:hAnsi="Verdana"/>
          <w:sz w:val="18"/>
          <w:szCs w:val="18"/>
        </w:rPr>
        <w:lastRenderedPageBreak/>
        <w:t>Kanttekeningen bij de release van Proteus 4</w:t>
      </w:r>
      <w:bookmarkEnd w:id="2"/>
    </w:p>
    <w:p w:rsidR="0044373A" w:rsidRPr="00055CD5" w:rsidRDefault="0044373A" w:rsidP="00055CD5">
      <w:pPr>
        <w:pStyle w:val="Geenafstand"/>
        <w:rPr>
          <w:rFonts w:cs="Helvetica"/>
        </w:rPr>
      </w:pPr>
    </w:p>
    <w:p w:rsidR="0044373A" w:rsidRPr="00055CD5" w:rsidRDefault="0044373A" w:rsidP="00055CD5">
      <w:pPr>
        <w:pStyle w:val="Geenafstand"/>
        <w:rPr>
          <w:rFonts w:cs="Helvetica"/>
        </w:rPr>
      </w:pPr>
      <w:r w:rsidRPr="00055CD5">
        <w:rPr>
          <w:rFonts w:cs="Helvetica"/>
        </w:rPr>
        <w:t>Bij het in release gaan van Proteus 4 zijn er tijdens de GAT-testen en de impact analyse nog enkele zaken naar voren gekomen. Vanwege de tijdsdruk en de complexiteit bij het aanpassen van sommige constateringen is ervoor gekozen de release “als is“ uit te brengen. In een komende update van Proteus, verwacht in het eerste kwartaal van 2022, zullen deze constateringen aangepast dan wel uitgewerkt worden.</w:t>
      </w:r>
    </w:p>
    <w:p w:rsidR="0044373A" w:rsidRPr="00055CD5" w:rsidRDefault="0044373A" w:rsidP="00055CD5">
      <w:pPr>
        <w:pStyle w:val="Geenafstand"/>
        <w:rPr>
          <w:rFonts w:cs="Helvetica"/>
        </w:rPr>
      </w:pPr>
    </w:p>
    <w:p w:rsidR="0044373A" w:rsidRPr="00055CD5" w:rsidRDefault="0044373A" w:rsidP="00055CD5">
      <w:pPr>
        <w:pStyle w:val="Geenafstand"/>
        <w:rPr>
          <w:rFonts w:cs="Helvetica"/>
        </w:rPr>
      </w:pPr>
      <w:r w:rsidRPr="00055CD5">
        <w:rPr>
          <w:rFonts w:cs="Helvetica"/>
        </w:rPr>
        <w:t>Geconstateerde tekortkomingen zijn:</w:t>
      </w:r>
    </w:p>
    <w:p w:rsidR="0044373A" w:rsidRPr="00055CD5" w:rsidRDefault="0044373A" w:rsidP="00055CD5">
      <w:pPr>
        <w:pStyle w:val="Geenafstand"/>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rPr>
      </w:pPr>
      <w:r w:rsidRPr="00055CD5">
        <w:rPr>
          <w:rFonts w:cs="Helvetica"/>
          <w:i/>
          <w:highlight w:val="yellow"/>
        </w:rPr>
        <w:t>Volume</w:t>
      </w:r>
      <w:r w:rsidRPr="00055CD5">
        <w:rPr>
          <w:rFonts w:cs="Helvetica"/>
          <w:i/>
        </w:rPr>
        <w:t xml:space="preserve"> beluchtingsbassin RWZI</w:t>
      </w:r>
    </w:p>
    <w:p w:rsidR="0044373A" w:rsidRPr="00055CD5" w:rsidRDefault="0044373A" w:rsidP="00055CD5">
      <w:pPr>
        <w:pStyle w:val="Geenafstand"/>
        <w:ind w:left="360"/>
        <w:rPr>
          <w:rFonts w:cs="Helvetica"/>
        </w:rPr>
      </w:pPr>
      <w:r w:rsidRPr="00055CD5">
        <w:rPr>
          <w:rFonts w:cs="Helvetica"/>
        </w:rPr>
        <w:t xml:space="preserve">Omdat de gebruikersgroep van Proteus had geconstateerd dat specifieke informatie over een RWZI moeilijk te verkrijgen is, is binnen Proteus 4 gekozen voor een vereenvoudigde rekenmethodiek. Deze methodiek neemt aan dat het </w:t>
      </w:r>
      <w:r w:rsidRPr="00055CD5">
        <w:rPr>
          <w:rFonts w:cs="Helvetica"/>
          <w:highlight w:val="yellow"/>
        </w:rPr>
        <w:t>volume</w:t>
      </w:r>
      <w:r w:rsidRPr="00055CD5">
        <w:rPr>
          <w:rFonts w:cs="Helvetica"/>
        </w:rPr>
        <w:t xml:space="preserve"> van de beluchtingstank in een RWZI ongeveer 10% is van de capaciteit van de RWZI in </w:t>
      </w:r>
      <w:proofErr w:type="spellStart"/>
      <w:r w:rsidRPr="00055CD5">
        <w:rPr>
          <w:rFonts w:cs="Helvetica"/>
        </w:rPr>
        <w:t>ve</w:t>
      </w:r>
      <w:proofErr w:type="spellEnd"/>
      <w:r w:rsidRPr="00055CD5">
        <w:rPr>
          <w:rFonts w:cs="Helvetica"/>
        </w:rPr>
        <w:t>. Alhoewel dit in vele gevallen consistent is met RWZI ontwerp en gebaseerd is op ervaringsdeskundigen hoeft dit niet in alle gevallen zo te zijn. Proteus zal in geval van een te lage beluchtingscapaciteit een overschatting geven met betrekking tot het falen.</w:t>
      </w:r>
      <w:r w:rsidRPr="00055CD5">
        <w:rPr>
          <w:rFonts w:cs="Helvetica"/>
        </w:rPr>
        <w:br/>
        <w:t>Om dit tijdelijk op te vangen is voor de gebruiker, die op basis van exacte gegevens constateert dat de beluchtingscapaciteit groter dan 10% is, een Excel file ontwikkeld. Deze Excel file vergelijkt de faalkans van de Proteus berekening met een zelf door de gebruiker ingevulde beluchtingscapaciteit.</w:t>
      </w:r>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Kans “doorstroom zonder afsluiter”</w:t>
      </w:r>
    </w:p>
    <w:p w:rsidR="0044373A" w:rsidRPr="00055CD5" w:rsidRDefault="0044373A" w:rsidP="00055CD5">
      <w:pPr>
        <w:pStyle w:val="Geenafstand"/>
        <w:ind w:left="360"/>
        <w:rPr>
          <w:rFonts w:cs="Helvetica"/>
        </w:rPr>
      </w:pPr>
      <w:r w:rsidRPr="00055CD5">
        <w:rPr>
          <w:rFonts w:cs="Helvetica"/>
        </w:rPr>
        <w:t xml:space="preserve">Wanneer bij een </w:t>
      </w:r>
      <w:proofErr w:type="spellStart"/>
      <w:r w:rsidRPr="00055CD5">
        <w:rPr>
          <w:rFonts w:cs="Helvetica"/>
        </w:rPr>
        <w:t>tankput</w:t>
      </w:r>
      <w:proofErr w:type="spellEnd"/>
      <w:r w:rsidRPr="00055CD5">
        <w:rPr>
          <w:rFonts w:cs="Helvetica"/>
        </w:rPr>
        <w:t xml:space="preserve"> de doorstroom plaatsvindt via  "doorstroom zonder afsluiter", laat Proteus afwijkende faalkansen zien. De faalkansen lijken vermenigvuldigd met 0,9. Dit lijkt erop te wijzen dat de faalkans van "doorstroom zonder afsluiter" per abuis op 0,9 staat in plaats van op 1.</w:t>
      </w:r>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Faalkansen en scenario’s</w:t>
      </w:r>
    </w:p>
    <w:p w:rsidR="0044373A" w:rsidRPr="00055CD5" w:rsidRDefault="0044373A" w:rsidP="00055CD5">
      <w:pPr>
        <w:pStyle w:val="Geenafstand"/>
        <w:ind w:left="360"/>
        <w:rPr>
          <w:rFonts w:cs="Helvetica"/>
        </w:rPr>
      </w:pPr>
      <w:r w:rsidRPr="00055CD5">
        <w:rPr>
          <w:rFonts w:cs="Helvetica"/>
        </w:rPr>
        <w:t xml:space="preserve">Sommige faalkansen en scenario’s in Proteus moeten in het kader van dynamische ontwikkeling (wederom) worden gesynchroniseerd met </w:t>
      </w:r>
      <w:proofErr w:type="spellStart"/>
      <w:r w:rsidRPr="00055CD5">
        <w:rPr>
          <w:rFonts w:cs="Helvetica"/>
        </w:rPr>
        <w:t>Bevi</w:t>
      </w:r>
      <w:proofErr w:type="spellEnd"/>
      <w:r w:rsidRPr="00055CD5">
        <w:rPr>
          <w:rFonts w:cs="Helvetica"/>
        </w:rPr>
        <w:t>.</w:t>
      </w:r>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 xml:space="preserve">Uitstromen </w:t>
      </w:r>
      <w:proofErr w:type="spellStart"/>
      <w:r w:rsidRPr="00055CD5">
        <w:rPr>
          <w:rFonts w:cs="Helvetica"/>
          <w:i/>
        </w:rPr>
        <w:t>tankput</w:t>
      </w:r>
      <w:proofErr w:type="spellEnd"/>
    </w:p>
    <w:p w:rsidR="0044373A" w:rsidRPr="00055CD5" w:rsidRDefault="0044373A" w:rsidP="00055CD5">
      <w:pPr>
        <w:pStyle w:val="Geenafstand"/>
        <w:ind w:left="360"/>
        <w:rPr>
          <w:rFonts w:cs="Helvetica"/>
        </w:rPr>
      </w:pPr>
      <w:r w:rsidRPr="00055CD5">
        <w:rPr>
          <w:rFonts w:cs="Helvetica"/>
        </w:rPr>
        <w:t xml:space="preserve">Bij een </w:t>
      </w:r>
      <w:proofErr w:type="spellStart"/>
      <w:r w:rsidRPr="00055CD5">
        <w:rPr>
          <w:rFonts w:cs="Helvetica"/>
        </w:rPr>
        <w:t>tankput</w:t>
      </w:r>
      <w:proofErr w:type="spellEnd"/>
      <w:r w:rsidRPr="00055CD5">
        <w:rPr>
          <w:rFonts w:cs="Helvetica"/>
        </w:rPr>
        <w:t xml:space="preserve"> wordt de afvoer na falen van een tank berekend als een uitstroom van de in de </w:t>
      </w:r>
      <w:proofErr w:type="spellStart"/>
      <w:r w:rsidRPr="00055CD5">
        <w:rPr>
          <w:rFonts w:cs="Helvetica"/>
        </w:rPr>
        <w:t>tankput</w:t>
      </w:r>
      <w:proofErr w:type="spellEnd"/>
      <w:r w:rsidRPr="00055CD5">
        <w:rPr>
          <w:rFonts w:cs="Helvetica"/>
        </w:rPr>
        <w:t xml:space="preserve"> aanwezige hoeveelheid in 60 seconden. Er wordt geen rekening gehouden met de diameter van de afvoerleiding, waardoor de uitstroomtijd aanzienlijk </w:t>
      </w:r>
      <w:r w:rsidR="003177BD" w:rsidRPr="00055CD5">
        <w:rPr>
          <w:rFonts w:cs="Helvetica"/>
        </w:rPr>
        <w:t>zou kunnen toenemen</w:t>
      </w:r>
      <w:r w:rsidR="003177BD" w:rsidRPr="00055CD5">
        <w:rPr>
          <w:rFonts w:cs="Helvetica"/>
        </w:rPr>
        <w:t xml:space="preserve"> </w:t>
      </w:r>
      <w:r w:rsidRPr="00055CD5">
        <w:rPr>
          <w:rFonts w:cs="Helvetica"/>
        </w:rPr>
        <w:t>in de praktijk.</w:t>
      </w:r>
      <w:bookmarkStart w:id="3" w:name="_GoBack"/>
      <w:bookmarkEnd w:id="3"/>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Stoffen database</w:t>
      </w:r>
    </w:p>
    <w:p w:rsidR="0044373A" w:rsidRPr="00055CD5" w:rsidRDefault="0044373A" w:rsidP="00055CD5">
      <w:pPr>
        <w:pStyle w:val="Geenafstand"/>
        <w:ind w:left="360"/>
        <w:rPr>
          <w:rFonts w:cs="Helvetica"/>
        </w:rPr>
      </w:pPr>
      <w:r w:rsidRPr="00055CD5">
        <w:rPr>
          <w:rFonts w:cs="Helvetica"/>
        </w:rPr>
        <w:t>In de stoffenlijst wordt onderscheid gemaakt tussen stoffen met als bron "systeem"  en stoffen met als bron “gebruiker”. Veel records van stoffen met bron "systeem" zijn niet volledig ingevuld; de gebruiker moet daarvoor de ontbrekende stofgegevens invullen. Om de stof in het programma te kunnen gebruiken moeten alle verplichte velden worden ingevuld. Als na invulling van alle verplichte velden de stofgegevens worden opgeslagen, zijn de stofgegevens daarna niet meer te wijzigen. Dit laatste is zeer onpraktisch voor de gebruiker. Een (tijdelijke) oplossing is mogelijk door eerst een kopie van de stof te maken en deze kopie te gebruiken in de berekeningen.</w:t>
      </w:r>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Helpfile</w:t>
      </w:r>
    </w:p>
    <w:p w:rsidR="0044373A" w:rsidRPr="00055CD5" w:rsidRDefault="0044373A" w:rsidP="00055CD5">
      <w:pPr>
        <w:pStyle w:val="Geenafstand"/>
        <w:ind w:left="360"/>
        <w:rPr>
          <w:rFonts w:cs="Helvetica"/>
        </w:rPr>
      </w:pPr>
      <w:r w:rsidRPr="00055CD5">
        <w:rPr>
          <w:rFonts w:cs="Helvetica"/>
        </w:rPr>
        <w:t>De helpfile in Proteus is in sommige gevallen niet in overeenstemming met de omschrijving in de handleiding; de aanwezige links werken in sommige gevallen niet.</w:t>
      </w:r>
    </w:p>
    <w:p w:rsidR="0044373A" w:rsidRPr="00055CD5" w:rsidRDefault="0044373A" w:rsidP="00055CD5">
      <w:pPr>
        <w:pStyle w:val="Geenafstand"/>
        <w:ind w:left="360"/>
        <w:rPr>
          <w:rFonts w:cs="Helvetica"/>
        </w:rPr>
      </w:pPr>
    </w:p>
    <w:p w:rsidR="0044373A" w:rsidRPr="00055CD5" w:rsidRDefault="0044373A" w:rsidP="00055CD5">
      <w:pPr>
        <w:pStyle w:val="Geenafstand"/>
        <w:widowControl/>
        <w:numPr>
          <w:ilvl w:val="0"/>
          <w:numId w:val="9"/>
        </w:numPr>
        <w:suppressAutoHyphens w:val="0"/>
        <w:autoSpaceDN/>
        <w:textAlignment w:val="auto"/>
        <w:rPr>
          <w:rFonts w:cs="Helvetica"/>
          <w:i/>
        </w:rPr>
      </w:pPr>
      <w:r w:rsidRPr="00055CD5">
        <w:rPr>
          <w:rFonts w:cs="Helvetica"/>
          <w:i/>
        </w:rPr>
        <w:t>Kleine lozingen</w:t>
      </w:r>
    </w:p>
    <w:p w:rsidR="0044373A" w:rsidRPr="00055CD5" w:rsidRDefault="0044373A" w:rsidP="00055CD5">
      <w:pPr>
        <w:pStyle w:val="Geenafstand"/>
        <w:ind w:left="360"/>
        <w:rPr>
          <w:rFonts w:cs="Helvetica"/>
          <w:color w:val="000000"/>
        </w:rPr>
      </w:pPr>
      <w:r w:rsidRPr="00055CD5">
        <w:rPr>
          <w:rFonts w:cs="Helvetica"/>
        </w:rPr>
        <w:t xml:space="preserve">Het gevolg van het verbeterde BZV-model is dat Proteus ook de volumecontaminatie van kleine lozingen doorrekent. Dit kan in sommige gevallen leiden tot een te lange rekeningduur van Proteus. Om dit te voorkomen is gekozen voor een aanpak waarbij lozingen afhankelijk van een bepaalde MSI en een lage faalkans apart worden berekend. </w:t>
      </w:r>
      <w:r w:rsidRPr="00055CD5">
        <w:rPr>
          <w:rFonts w:cs="Helvetica"/>
          <w:color w:val="000000"/>
        </w:rPr>
        <w:t xml:space="preserve">Wanneer de te verwachten </w:t>
      </w:r>
      <w:proofErr w:type="spellStart"/>
      <w:r w:rsidRPr="00055CD5">
        <w:rPr>
          <w:rFonts w:cs="Helvetica"/>
          <w:color w:val="000000"/>
        </w:rPr>
        <w:t>MSI_factored</w:t>
      </w:r>
      <w:proofErr w:type="spellEnd"/>
      <w:r w:rsidRPr="00055CD5">
        <w:rPr>
          <w:rFonts w:cs="Helvetica"/>
          <w:color w:val="000000"/>
        </w:rPr>
        <w:t xml:space="preserve"> / faalkans in het verwaarloosbare en in sommige gevallen acceptabele  gebieden valt wordt het theoretisch maximum effect volume als eindresultaat genomen zonder uitvoeren van de TZV berekening. Dit kan in sommige gevallen leiden tot niet consistente resultaten.</w:t>
      </w:r>
    </w:p>
    <w:p w:rsidR="0044373A" w:rsidRPr="00055CD5" w:rsidRDefault="0044373A" w:rsidP="00055CD5">
      <w:pPr>
        <w:pStyle w:val="Geenafstand"/>
        <w:ind w:left="360"/>
        <w:rPr>
          <w:rFonts w:cs="Helvetica"/>
          <w:color w:val="000000"/>
        </w:rPr>
      </w:pPr>
    </w:p>
    <w:p w:rsidR="0044373A" w:rsidRPr="00055CD5" w:rsidRDefault="0044373A" w:rsidP="00055CD5">
      <w:pPr>
        <w:pStyle w:val="Geenafstand"/>
        <w:widowControl/>
        <w:numPr>
          <w:ilvl w:val="0"/>
          <w:numId w:val="9"/>
        </w:numPr>
        <w:suppressAutoHyphens w:val="0"/>
        <w:autoSpaceDN/>
        <w:textAlignment w:val="auto"/>
        <w:rPr>
          <w:rFonts w:cs="Helvetica"/>
        </w:rPr>
      </w:pPr>
      <w:r w:rsidRPr="00055CD5">
        <w:rPr>
          <w:rFonts w:cs="Helvetica"/>
          <w:i/>
        </w:rPr>
        <w:lastRenderedPageBreak/>
        <w:t>Oplosbaarheid</w:t>
      </w:r>
      <w:r w:rsidRPr="00055CD5">
        <w:rPr>
          <w:rFonts w:cs="Helvetica"/>
        </w:rPr>
        <w:br/>
        <w:t>Ook in Proteus 4 wordt een stof als oplosbaar gezien indien de oplosbaarheid &gt; 100 g/l is. De CIW-nota hanteert hiervoor &gt;100 mg/l. Ook dit wordt in een komende release aangepast na een impactanalyse.</w:t>
      </w:r>
    </w:p>
    <w:p w:rsidR="00AC041E" w:rsidRPr="00055CD5" w:rsidRDefault="00AC041E" w:rsidP="00055CD5">
      <w:pPr>
        <w:rPr>
          <w:szCs w:val="18"/>
        </w:rPr>
      </w:pPr>
    </w:p>
    <w:sectPr w:rsidR="00AC041E" w:rsidRPr="00055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C6A036C"/>
    <w:lvl w:ilvl="0">
      <w:start w:val="1"/>
      <w:numFmt w:val="decimal"/>
      <w:pStyle w:val="Kop1"/>
      <w:suff w:val="space"/>
      <w:lvlText w:val="%1."/>
      <w:lvlJc w:val="left"/>
      <w:pPr>
        <w:ind w:left="-851" w:firstLine="0"/>
      </w:pPr>
    </w:lvl>
    <w:lvl w:ilvl="1">
      <w:start w:val="1"/>
      <w:numFmt w:val="decimal"/>
      <w:pStyle w:val="Kop2"/>
      <w:suff w:val="space"/>
      <w:lvlText w:val="%1.%2."/>
      <w:lvlJc w:val="left"/>
      <w:pPr>
        <w:ind w:left="0" w:firstLine="0"/>
      </w:pPr>
    </w:lvl>
    <w:lvl w:ilvl="2">
      <w:start w:val="1"/>
      <w:numFmt w:val="decimal"/>
      <w:pStyle w:val="Kop3"/>
      <w:suff w:val="space"/>
      <w:lvlText w:val="%1.%2.%3."/>
      <w:lvlJc w:val="left"/>
      <w:pPr>
        <w:ind w:left="0" w:firstLine="0"/>
      </w:pPr>
    </w:lvl>
    <w:lvl w:ilvl="3">
      <w:start w:val="1"/>
      <w:numFmt w:val="decimal"/>
      <w:lvlText w:val="%1.%2.%3.%4."/>
      <w:lvlJc w:val="left"/>
      <w:pPr>
        <w:tabs>
          <w:tab w:val="num" w:pos="0"/>
        </w:tabs>
        <w:ind w:left="-851" w:firstLine="0"/>
      </w:pPr>
    </w:lvl>
    <w:lvl w:ilvl="4">
      <w:start w:val="1"/>
      <w:numFmt w:val="decimal"/>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4F83E81"/>
    <w:multiLevelType w:val="hybridMultilevel"/>
    <w:tmpl w:val="D4B00A16"/>
    <w:lvl w:ilvl="0" w:tplc="616609BC">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911DC"/>
    <w:multiLevelType w:val="singleLevel"/>
    <w:tmpl w:val="BB02CCDC"/>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E52190B"/>
    <w:multiLevelType w:val="hybridMultilevel"/>
    <w:tmpl w:val="F5B0F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E34F1"/>
    <w:multiLevelType w:val="hybridMultilevel"/>
    <w:tmpl w:val="B1B01CA2"/>
    <w:lvl w:ilvl="0" w:tplc="03FC5984">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E1F3E"/>
    <w:multiLevelType w:val="hybridMultilevel"/>
    <w:tmpl w:val="A24E0A5C"/>
    <w:lvl w:ilvl="0" w:tplc="AB7AEC36">
      <w:start w:val="1"/>
      <w:numFmt w:val="bullet"/>
      <w:pStyle w:val="Uitroep"/>
      <w:lvlText w:val="!"/>
      <w:lvlJc w:val="left"/>
      <w:pPr>
        <w:tabs>
          <w:tab w:val="num" w:pos="170"/>
        </w:tabs>
        <w:ind w:left="170" w:hanging="170"/>
      </w:pPr>
      <w:rPr>
        <w:rFonts w:ascii="Arial" w:hAnsi="Arial" w:hint="default"/>
        <w:b/>
        <w:i w:val="0"/>
        <w:color w:val="3366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D0B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7C1B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22164FF"/>
    <w:multiLevelType w:val="hybridMultilevel"/>
    <w:tmpl w:val="CB341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91"/>
    <w:rsid w:val="00055CD5"/>
    <w:rsid w:val="00267D2D"/>
    <w:rsid w:val="003177BD"/>
    <w:rsid w:val="0044373A"/>
    <w:rsid w:val="00582A91"/>
    <w:rsid w:val="00746796"/>
    <w:rsid w:val="00945AC0"/>
    <w:rsid w:val="00AC041E"/>
    <w:rsid w:val="00BB7D38"/>
    <w:rsid w:val="00CC2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22C5"/>
  <w15:chartTrackingRefBased/>
  <w15:docId w15:val="{A58527A1-45BE-4B30-A08C-BAF5D363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D38"/>
    <w:pPr>
      <w:spacing w:line="240" w:lineRule="auto"/>
    </w:pPr>
    <w:rPr>
      <w:rFonts w:ascii="Verdana" w:hAnsi="Verdana"/>
      <w:sz w:val="18"/>
    </w:rPr>
  </w:style>
  <w:style w:type="paragraph" w:styleId="Kop1">
    <w:name w:val="heading 1"/>
    <w:basedOn w:val="Standaard"/>
    <w:next w:val="Plattetekst"/>
    <w:link w:val="Kop1Char"/>
    <w:uiPriority w:val="99"/>
    <w:qFormat/>
    <w:rsid w:val="00945AC0"/>
    <w:pPr>
      <w:keepNext/>
      <w:pageBreakBefore/>
      <w:numPr>
        <w:numId w:val="3"/>
      </w:numPr>
      <w:spacing w:before="240" w:after="60"/>
      <w:outlineLvl w:val="0"/>
    </w:pPr>
    <w:rPr>
      <w:rFonts w:ascii="Helvetica" w:eastAsia="Times New Roman" w:hAnsi="Helvetica" w:cs="Times New Roman"/>
      <w:b/>
      <w:kern w:val="28"/>
      <w:sz w:val="24"/>
      <w:szCs w:val="20"/>
    </w:rPr>
  </w:style>
  <w:style w:type="paragraph" w:styleId="Kop2">
    <w:name w:val="heading 2"/>
    <w:basedOn w:val="Standaard"/>
    <w:next w:val="Plattetekst"/>
    <w:link w:val="Kop2Char"/>
    <w:uiPriority w:val="99"/>
    <w:qFormat/>
    <w:rsid w:val="00945AC0"/>
    <w:pPr>
      <w:keepNext/>
      <w:numPr>
        <w:ilvl w:val="1"/>
        <w:numId w:val="3"/>
      </w:numPr>
      <w:spacing w:before="240" w:after="60"/>
      <w:ind w:hanging="810"/>
      <w:outlineLvl w:val="1"/>
    </w:pPr>
    <w:rPr>
      <w:rFonts w:ascii="Helvetica" w:eastAsia="Times New Roman" w:hAnsi="Helvetica" w:cs="Times New Roman"/>
      <w:b/>
      <w:sz w:val="20"/>
      <w:szCs w:val="20"/>
    </w:rPr>
  </w:style>
  <w:style w:type="paragraph" w:styleId="Kop3">
    <w:name w:val="heading 3"/>
    <w:basedOn w:val="Kop2"/>
    <w:next w:val="Plattetekst"/>
    <w:link w:val="Kop3Char"/>
    <w:uiPriority w:val="99"/>
    <w:qFormat/>
    <w:rsid w:val="00945AC0"/>
    <w:pPr>
      <w:numPr>
        <w:ilvl w:val="2"/>
      </w:numPr>
      <w:ind w:hanging="811"/>
      <w:outlineLvl w:val="2"/>
    </w:pPr>
  </w:style>
  <w:style w:type="paragraph" w:styleId="Kop6">
    <w:name w:val="heading 6"/>
    <w:basedOn w:val="Standaard"/>
    <w:next w:val="Standaard"/>
    <w:link w:val="Kop6Char"/>
    <w:uiPriority w:val="99"/>
    <w:qFormat/>
    <w:rsid w:val="00945AC0"/>
    <w:pPr>
      <w:numPr>
        <w:ilvl w:val="5"/>
        <w:numId w:val="3"/>
      </w:numPr>
      <w:spacing w:before="240" w:after="60"/>
      <w:outlineLvl w:val="5"/>
    </w:pPr>
    <w:rPr>
      <w:rFonts w:ascii="Arial" w:eastAsia="Times New Roman" w:hAnsi="Arial" w:cs="Times New Roman"/>
      <w:i/>
      <w:sz w:val="22"/>
      <w:szCs w:val="20"/>
    </w:rPr>
  </w:style>
  <w:style w:type="paragraph" w:styleId="Kop7">
    <w:name w:val="heading 7"/>
    <w:basedOn w:val="Standaard"/>
    <w:next w:val="Standaard"/>
    <w:link w:val="Kop7Char"/>
    <w:uiPriority w:val="99"/>
    <w:qFormat/>
    <w:rsid w:val="00945AC0"/>
    <w:pPr>
      <w:numPr>
        <w:ilvl w:val="6"/>
        <w:numId w:val="3"/>
      </w:numPr>
      <w:spacing w:before="240" w:after="60"/>
      <w:outlineLvl w:val="6"/>
    </w:pPr>
    <w:rPr>
      <w:rFonts w:ascii="Arial" w:eastAsia="Times New Roman" w:hAnsi="Arial" w:cs="Times New Roman"/>
      <w:sz w:val="20"/>
      <w:szCs w:val="20"/>
    </w:rPr>
  </w:style>
  <w:style w:type="paragraph" w:styleId="Kop8">
    <w:name w:val="heading 8"/>
    <w:basedOn w:val="Standaard"/>
    <w:next w:val="Standaard"/>
    <w:link w:val="Kop8Char"/>
    <w:uiPriority w:val="99"/>
    <w:qFormat/>
    <w:rsid w:val="00945AC0"/>
    <w:pPr>
      <w:numPr>
        <w:ilvl w:val="7"/>
        <w:numId w:val="3"/>
      </w:numPr>
      <w:spacing w:before="240" w:after="60"/>
      <w:outlineLvl w:val="7"/>
    </w:pPr>
    <w:rPr>
      <w:rFonts w:ascii="Arial" w:eastAsia="Times New Roman" w:hAnsi="Arial" w:cs="Times New Roman"/>
      <w:i/>
      <w:sz w:val="20"/>
      <w:szCs w:val="20"/>
    </w:rPr>
  </w:style>
  <w:style w:type="paragraph" w:styleId="Kop9">
    <w:name w:val="heading 9"/>
    <w:basedOn w:val="Standaard"/>
    <w:next w:val="Standaard"/>
    <w:link w:val="Kop9Char"/>
    <w:uiPriority w:val="99"/>
    <w:qFormat/>
    <w:rsid w:val="00945AC0"/>
    <w:pPr>
      <w:numPr>
        <w:ilvl w:val="8"/>
        <w:numId w:val="3"/>
      </w:numPr>
      <w:spacing w:before="240" w:after="60"/>
      <w:outlineLvl w:val="8"/>
    </w:pPr>
    <w:rPr>
      <w:rFonts w:ascii="Arial" w:eastAsia="Times New Roman" w:hAnsi="Arial" w:cs="Times New Roman"/>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746796"/>
    <w:pPr>
      <w:numPr>
        <w:numId w:val="2"/>
      </w:numPr>
    </w:pPr>
  </w:style>
  <w:style w:type="character" w:customStyle="1" w:styleId="Heading1Char">
    <w:name w:val="Heading 1 Char"/>
    <w:semiHidden/>
    <w:rsid w:val="00746796"/>
    <w:rPr>
      <w:rFonts w:ascii="Helvetica" w:hAnsi="Helvetica"/>
      <w:b/>
      <w:kern w:val="28"/>
      <w:sz w:val="24"/>
      <w:lang w:val="nl" w:eastAsia="en-US" w:bidi="ar-SA"/>
    </w:rPr>
  </w:style>
  <w:style w:type="character" w:customStyle="1" w:styleId="Heading3Char">
    <w:name w:val="Heading 3 Char"/>
    <w:semiHidden/>
    <w:rsid w:val="00746796"/>
    <w:rPr>
      <w:rFonts w:ascii="Helvetica" w:hAnsi="Helvetica"/>
      <w:lang w:val="nl-NL" w:eastAsia="en-US" w:bidi="ar-SA"/>
    </w:rPr>
  </w:style>
  <w:style w:type="character" w:customStyle="1" w:styleId="Heading4Char">
    <w:name w:val="Heading 4 Char"/>
    <w:semiHidden/>
    <w:rsid w:val="00746796"/>
    <w:rPr>
      <w:rFonts w:ascii="Helvetica" w:hAnsi="Helvetica"/>
      <w:b/>
      <w:lang w:val="nl-NL" w:eastAsia="en-US" w:bidi="ar-SA"/>
    </w:rPr>
  </w:style>
  <w:style w:type="character" w:customStyle="1" w:styleId="Heading6Char">
    <w:name w:val="Heading 6 Char"/>
    <w:semiHidden/>
    <w:rsid w:val="00746796"/>
    <w:rPr>
      <w:rFonts w:ascii="Arial" w:hAnsi="Arial"/>
      <w:i/>
      <w:sz w:val="22"/>
      <w:lang w:val="nl-NL" w:eastAsia="en-US" w:bidi="ar-SA"/>
    </w:rPr>
  </w:style>
  <w:style w:type="character" w:customStyle="1" w:styleId="Kop1Char">
    <w:name w:val="Kop 1 Char"/>
    <w:basedOn w:val="Standaardalinea-lettertype"/>
    <w:link w:val="Kop1"/>
    <w:uiPriority w:val="99"/>
    <w:rsid w:val="00945AC0"/>
    <w:rPr>
      <w:rFonts w:ascii="Helvetica" w:eastAsia="Times New Roman" w:hAnsi="Helvetica" w:cs="Times New Roman"/>
      <w:b/>
      <w:kern w:val="28"/>
      <w:sz w:val="24"/>
      <w:szCs w:val="20"/>
    </w:rPr>
  </w:style>
  <w:style w:type="character" w:customStyle="1" w:styleId="Kop2Char">
    <w:name w:val="Kop 2 Char"/>
    <w:basedOn w:val="Standaardalinea-lettertype"/>
    <w:link w:val="Kop2"/>
    <w:uiPriority w:val="99"/>
    <w:rsid w:val="00945AC0"/>
    <w:rPr>
      <w:rFonts w:ascii="Helvetica" w:eastAsia="Times New Roman" w:hAnsi="Helvetica" w:cs="Times New Roman"/>
      <w:b/>
      <w:sz w:val="20"/>
      <w:szCs w:val="20"/>
    </w:rPr>
  </w:style>
  <w:style w:type="character" w:customStyle="1" w:styleId="Kop3Char">
    <w:name w:val="Kop 3 Char"/>
    <w:basedOn w:val="Standaardalinea-lettertype"/>
    <w:link w:val="Kop3"/>
    <w:uiPriority w:val="99"/>
    <w:rsid w:val="00945AC0"/>
    <w:rPr>
      <w:rFonts w:ascii="Helvetica" w:eastAsia="Times New Roman" w:hAnsi="Helvetica" w:cs="Times New Roman"/>
      <w:b/>
      <w:sz w:val="20"/>
      <w:szCs w:val="20"/>
    </w:rPr>
  </w:style>
  <w:style w:type="character" w:customStyle="1" w:styleId="Kop6Char">
    <w:name w:val="Kop 6 Char"/>
    <w:basedOn w:val="Standaardalinea-lettertype"/>
    <w:link w:val="Kop6"/>
    <w:uiPriority w:val="99"/>
    <w:rsid w:val="00945AC0"/>
    <w:rPr>
      <w:rFonts w:ascii="Arial" w:eastAsia="Times New Roman" w:hAnsi="Arial" w:cs="Times New Roman"/>
      <w:i/>
      <w:szCs w:val="20"/>
    </w:rPr>
  </w:style>
  <w:style w:type="character" w:customStyle="1" w:styleId="Kop7Char">
    <w:name w:val="Kop 7 Char"/>
    <w:basedOn w:val="Standaardalinea-lettertype"/>
    <w:link w:val="Kop7"/>
    <w:uiPriority w:val="99"/>
    <w:rsid w:val="00945AC0"/>
    <w:rPr>
      <w:rFonts w:ascii="Arial" w:eastAsia="Times New Roman" w:hAnsi="Arial" w:cs="Times New Roman"/>
      <w:sz w:val="20"/>
      <w:szCs w:val="20"/>
    </w:rPr>
  </w:style>
  <w:style w:type="character" w:customStyle="1" w:styleId="Kop8Char">
    <w:name w:val="Kop 8 Char"/>
    <w:basedOn w:val="Standaardalinea-lettertype"/>
    <w:link w:val="Kop8"/>
    <w:uiPriority w:val="99"/>
    <w:rsid w:val="00945AC0"/>
    <w:rPr>
      <w:rFonts w:ascii="Arial" w:eastAsia="Times New Roman" w:hAnsi="Arial" w:cs="Times New Roman"/>
      <w:i/>
      <w:sz w:val="20"/>
      <w:szCs w:val="20"/>
    </w:rPr>
  </w:style>
  <w:style w:type="character" w:customStyle="1" w:styleId="Kop9Char">
    <w:name w:val="Kop 9 Char"/>
    <w:basedOn w:val="Standaardalinea-lettertype"/>
    <w:link w:val="Kop9"/>
    <w:uiPriority w:val="99"/>
    <w:rsid w:val="00945AC0"/>
    <w:rPr>
      <w:rFonts w:ascii="Arial" w:eastAsia="Times New Roman" w:hAnsi="Arial" w:cs="Times New Roman"/>
      <w:i/>
      <w:sz w:val="18"/>
      <w:szCs w:val="20"/>
    </w:rPr>
  </w:style>
  <w:style w:type="paragraph" w:styleId="Plattetekst">
    <w:name w:val="Body Text"/>
    <w:aliases w:val="Body Text Char"/>
    <w:basedOn w:val="Standaard"/>
    <w:link w:val="PlattetekstChar"/>
    <w:uiPriority w:val="99"/>
    <w:rsid w:val="00945AC0"/>
    <w:pPr>
      <w:spacing w:after="0" w:line="280" w:lineRule="atLeast"/>
      <w:jc w:val="both"/>
    </w:pPr>
    <w:rPr>
      <w:rFonts w:ascii="Helvetica" w:eastAsia="Times New Roman" w:hAnsi="Helvetica" w:cs="Times New Roman"/>
      <w:sz w:val="20"/>
      <w:szCs w:val="20"/>
    </w:rPr>
  </w:style>
  <w:style w:type="character" w:customStyle="1" w:styleId="PlattetekstChar">
    <w:name w:val="Platte tekst Char"/>
    <w:aliases w:val="Body Text Char Char1"/>
    <w:basedOn w:val="Standaardalinea-lettertype"/>
    <w:link w:val="Plattetekst"/>
    <w:uiPriority w:val="99"/>
    <w:rsid w:val="00945AC0"/>
    <w:rPr>
      <w:rFonts w:ascii="Helvetica" w:eastAsia="Times New Roman" w:hAnsi="Helvetica" w:cs="Times New Roman"/>
      <w:sz w:val="20"/>
      <w:szCs w:val="20"/>
    </w:rPr>
  </w:style>
  <w:style w:type="paragraph" w:styleId="Lijstopsomteken">
    <w:name w:val="List Bullet"/>
    <w:basedOn w:val="Standaard"/>
    <w:uiPriority w:val="99"/>
    <w:semiHidden/>
    <w:rsid w:val="00945AC0"/>
    <w:pPr>
      <w:numPr>
        <w:numId w:val="4"/>
      </w:numPr>
      <w:tabs>
        <w:tab w:val="clear" w:pos="360"/>
        <w:tab w:val="num" w:pos="284"/>
      </w:tabs>
      <w:spacing w:after="0" w:line="280" w:lineRule="exact"/>
      <w:ind w:left="284" w:hanging="284"/>
      <w:jc w:val="both"/>
    </w:pPr>
    <w:rPr>
      <w:rFonts w:ascii="Helvetica" w:eastAsia="Times New Roman" w:hAnsi="Helvetica" w:cs="Times New Roman"/>
      <w:sz w:val="20"/>
      <w:szCs w:val="20"/>
    </w:rPr>
  </w:style>
  <w:style w:type="character" w:customStyle="1" w:styleId="LijstalineaChar">
    <w:name w:val="Lijstalinea Char"/>
    <w:basedOn w:val="Standaardalinea-lettertype"/>
    <w:link w:val="Lijstalinea"/>
    <w:uiPriority w:val="34"/>
    <w:qFormat/>
    <w:rsid w:val="00945AC0"/>
  </w:style>
  <w:style w:type="paragraph" w:styleId="Lijstalinea">
    <w:name w:val="List Paragraph"/>
    <w:basedOn w:val="Standaard"/>
    <w:link w:val="LijstalineaChar"/>
    <w:uiPriority w:val="34"/>
    <w:qFormat/>
    <w:rsid w:val="00945AC0"/>
    <w:pPr>
      <w:suppressAutoHyphens/>
      <w:spacing w:after="0"/>
    </w:pPr>
    <w:rPr>
      <w:rFonts w:asciiTheme="minorHAnsi" w:hAnsiTheme="minorHAnsi"/>
      <w:sz w:val="22"/>
    </w:rPr>
  </w:style>
  <w:style w:type="paragraph" w:customStyle="1" w:styleId="Uitroep">
    <w:name w:val="Uitroep"/>
    <w:basedOn w:val="Standaard"/>
    <w:semiHidden/>
    <w:rsid w:val="0044373A"/>
    <w:pPr>
      <w:numPr>
        <w:numId w:val="8"/>
      </w:numPr>
      <w:overflowPunct w:val="0"/>
      <w:autoSpaceDE w:val="0"/>
      <w:autoSpaceDN w:val="0"/>
      <w:adjustRightInd w:val="0"/>
      <w:spacing w:after="0"/>
      <w:textAlignment w:val="baseline"/>
    </w:pPr>
    <w:rPr>
      <w:rFonts w:ascii="Helvetica" w:eastAsia="Times New Roman" w:hAnsi="Helvetica" w:cs="Times New Roman"/>
      <w:sz w:val="20"/>
      <w:szCs w:val="20"/>
      <w:lang w:val="nl"/>
    </w:rPr>
  </w:style>
  <w:style w:type="paragraph" w:styleId="Geenafstand">
    <w:name w:val="No Spacing"/>
    <w:uiPriority w:val="1"/>
    <w:qFormat/>
    <w:rsid w:val="0044373A"/>
    <w:pPr>
      <w:widowControl w:val="0"/>
      <w:suppressAutoHyphens/>
      <w:autoSpaceDN w:val="0"/>
      <w:spacing w:after="0" w:line="240" w:lineRule="auto"/>
      <w:textAlignment w:val="baseline"/>
    </w:pPr>
    <w:rPr>
      <w:rFonts w:ascii="Verdana" w:eastAsia="DejaVu Sans" w:hAnsi="Verdana" w:cs="Lohit Hind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1626</Words>
  <Characters>8946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Braam, Leon (WNZ)</dc:creator>
  <cp:keywords/>
  <dc:description/>
  <cp:lastModifiedBy>Braam, Leon (WNZ)</cp:lastModifiedBy>
  <cp:revision>4</cp:revision>
  <dcterms:created xsi:type="dcterms:W3CDTF">2021-03-11T10:32:00Z</dcterms:created>
  <dcterms:modified xsi:type="dcterms:W3CDTF">2021-03-11T11:13:00Z</dcterms:modified>
</cp:coreProperties>
</file>